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28C8" w14:textId="2EDD93C0" w:rsidR="008418A3" w:rsidRPr="003019FF" w:rsidRDefault="00114873">
      <w:pPr>
        <w:pStyle w:val="Header"/>
        <w:tabs>
          <w:tab w:val="right" w:pos="9639"/>
        </w:tabs>
        <w:rPr>
          <w:i/>
          <w:iCs/>
          <w:noProof w:val="0"/>
          <w:sz w:val="32"/>
          <w:szCs w:val="32"/>
          <w:lang w:val="en-GB"/>
        </w:rPr>
      </w:pPr>
      <w:bookmarkStart w:id="0" w:name="_GoBack"/>
      <w:bookmarkEnd w:id="0"/>
      <w:r w:rsidRPr="003252A4">
        <w:rPr>
          <w:noProof w:val="0"/>
          <w:sz w:val="24"/>
          <w:szCs w:val="24"/>
          <w:lang w:val="en-GB"/>
        </w:rPr>
        <w:t xml:space="preserve">3GPP TSG </w:t>
      </w:r>
      <w:r w:rsidR="008418A3" w:rsidRPr="003252A4">
        <w:rPr>
          <w:noProof w:val="0"/>
          <w:sz w:val="24"/>
          <w:szCs w:val="24"/>
          <w:lang w:val="en-GB"/>
        </w:rPr>
        <w:t>RAN WG</w:t>
      </w:r>
      <w:r w:rsidR="001B5941">
        <w:rPr>
          <w:noProof w:val="0"/>
          <w:sz w:val="24"/>
          <w:szCs w:val="24"/>
          <w:lang w:val="en-GB"/>
        </w:rPr>
        <w:t>1 Meeting 91</w:t>
      </w:r>
      <w:r w:rsidR="008418A3" w:rsidRPr="00114873">
        <w:rPr>
          <w:bCs/>
          <w:noProof w:val="0"/>
          <w:sz w:val="24"/>
          <w:lang w:val="en-GB"/>
        </w:rPr>
        <w:tab/>
      </w:r>
      <w:r w:rsidR="008418A3" w:rsidRPr="003252A4">
        <w:rPr>
          <w:noProof w:val="0"/>
          <w:sz w:val="24"/>
          <w:szCs w:val="24"/>
          <w:lang w:val="en-GB" w:eastAsia="ja-JP"/>
        </w:rPr>
        <w:t>R1-</w:t>
      </w:r>
      <w:r w:rsidR="00E72C48">
        <w:rPr>
          <w:noProof w:val="0"/>
          <w:sz w:val="24"/>
          <w:szCs w:val="24"/>
          <w:lang w:val="en-GB" w:eastAsia="ja-JP"/>
        </w:rPr>
        <w:t>17</w:t>
      </w:r>
      <w:r w:rsidR="001B5941">
        <w:rPr>
          <w:noProof w:val="0"/>
          <w:sz w:val="24"/>
          <w:szCs w:val="24"/>
          <w:lang w:val="en-GB" w:eastAsia="ja-JP"/>
        </w:rPr>
        <w:t>20</w:t>
      </w:r>
      <w:r w:rsidR="0069145F">
        <w:rPr>
          <w:noProof w:val="0"/>
          <w:sz w:val="24"/>
          <w:szCs w:val="24"/>
          <w:lang w:val="en-GB" w:eastAsia="ja-JP"/>
        </w:rPr>
        <w:t>480</w:t>
      </w:r>
    </w:p>
    <w:p w14:paraId="3944113F" w14:textId="72101C62" w:rsidR="00114873" w:rsidRPr="003019FF" w:rsidRDefault="001B5941">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Reno</w:t>
      </w:r>
      <w:r>
        <w:rPr>
          <w:rFonts w:ascii="Arial" w:hAnsi="Arial" w:cs="Arial"/>
          <w:b/>
          <w:bCs/>
          <w:sz w:val="24"/>
          <w:szCs w:val="24"/>
        </w:rPr>
        <w:t>, USA</w:t>
      </w:r>
      <w:r w:rsidR="00114873" w:rsidRPr="003252A4">
        <w:rPr>
          <w:rFonts w:ascii="Arial" w:hAnsi="Arial" w:cs="Arial"/>
          <w:b/>
          <w:bCs/>
          <w:sz w:val="24"/>
          <w:szCs w:val="24"/>
        </w:rPr>
        <w:t xml:space="preserve">, </w:t>
      </w:r>
      <w:r>
        <w:rPr>
          <w:rFonts w:ascii="Arial" w:hAnsi="Arial" w:cs="Arial"/>
          <w:b/>
          <w:bCs/>
          <w:sz w:val="24"/>
          <w:szCs w:val="24"/>
        </w:rPr>
        <w:t xml:space="preserve">November </w:t>
      </w:r>
      <w:r>
        <w:rPr>
          <w:rFonts w:ascii="Arial" w:eastAsia="MS Mincho" w:hAnsi="Arial" w:cs="Arial"/>
          <w:b/>
          <w:bCs/>
          <w:sz w:val="24"/>
          <w:szCs w:val="24"/>
          <w:lang w:eastAsia="ja-JP"/>
        </w:rPr>
        <w:t>27</w:t>
      </w:r>
      <w:r w:rsidR="00114873" w:rsidRPr="003252A4">
        <w:rPr>
          <w:rFonts w:ascii="Arial" w:eastAsia="MS Mincho" w:hAnsi="Arial" w:cs="Arial"/>
          <w:b/>
          <w:bCs/>
          <w:sz w:val="24"/>
          <w:szCs w:val="24"/>
          <w:vertAlign w:val="superscript"/>
          <w:lang w:eastAsia="ja-JP"/>
        </w:rPr>
        <w:t>th</w:t>
      </w:r>
      <w:r w:rsidR="00114873" w:rsidRPr="003252A4">
        <w:rPr>
          <w:rFonts w:ascii="Arial" w:eastAsia="MS Mincho" w:hAnsi="Arial" w:cs="Arial"/>
          <w:b/>
          <w:bCs/>
          <w:sz w:val="24"/>
          <w:szCs w:val="24"/>
          <w:lang w:eastAsia="ja-JP"/>
        </w:rPr>
        <w:t xml:space="preserve"> </w:t>
      </w:r>
      <w:r w:rsidR="00114873" w:rsidRPr="003252A4">
        <w:rPr>
          <w:rFonts w:ascii="Arial" w:hAnsi="Arial" w:cs="Arial"/>
          <w:b/>
          <w:bCs/>
          <w:sz w:val="24"/>
          <w:szCs w:val="24"/>
        </w:rPr>
        <w:t xml:space="preserve">– </w:t>
      </w:r>
      <w:r>
        <w:rPr>
          <w:rFonts w:ascii="Arial" w:hAnsi="Arial" w:cs="Arial"/>
          <w:b/>
          <w:bCs/>
          <w:sz w:val="24"/>
          <w:szCs w:val="24"/>
        </w:rPr>
        <w:t xml:space="preserve">December </w:t>
      </w:r>
      <w:r w:rsidR="00E72C48">
        <w:rPr>
          <w:rFonts w:ascii="Arial" w:eastAsia="MS Mincho" w:hAnsi="Arial" w:cs="Arial"/>
          <w:b/>
          <w:bCs/>
          <w:sz w:val="24"/>
          <w:szCs w:val="24"/>
          <w:lang w:eastAsia="ja-JP"/>
        </w:rPr>
        <w:t>1</w:t>
      </w:r>
      <w:r w:rsidR="00114873" w:rsidRPr="003252A4">
        <w:rPr>
          <w:rFonts w:ascii="Arial" w:eastAsia="MS Mincho" w:hAnsi="Arial" w:cs="Arial"/>
          <w:b/>
          <w:bCs/>
          <w:sz w:val="24"/>
          <w:szCs w:val="24"/>
          <w:vertAlign w:val="superscript"/>
          <w:lang w:eastAsia="ja-JP"/>
        </w:rPr>
        <w:t>st</w:t>
      </w:r>
      <w:r>
        <w:rPr>
          <w:rFonts w:ascii="Arial" w:hAnsi="Arial" w:cs="Arial"/>
          <w:b/>
          <w:bCs/>
          <w:sz w:val="24"/>
          <w:szCs w:val="24"/>
        </w:rPr>
        <w:t>, 2</w:t>
      </w:r>
      <w:r w:rsidR="00114873" w:rsidRPr="00CA1F91">
        <w:rPr>
          <w:rFonts w:ascii="Arial" w:hAnsi="Arial" w:cs="Arial"/>
          <w:b/>
          <w:bCs/>
          <w:sz w:val="24"/>
          <w:szCs w:val="24"/>
        </w:rPr>
        <w:t>01</w:t>
      </w:r>
      <w:r w:rsidR="00114873" w:rsidRPr="00CA1F91">
        <w:rPr>
          <w:rFonts w:ascii="Arial" w:eastAsia="MS Mincho" w:hAnsi="Arial" w:cs="Arial"/>
          <w:b/>
          <w:bCs/>
          <w:sz w:val="24"/>
          <w:szCs w:val="24"/>
          <w:lang w:eastAsia="ja-JP"/>
        </w:rPr>
        <w:t>7</w:t>
      </w:r>
    </w:p>
    <w:p w14:paraId="4F7A4707" w14:textId="77777777" w:rsidR="002F1B64" w:rsidRPr="007B7496" w:rsidRDefault="002F1B64" w:rsidP="002F1B64">
      <w:pPr>
        <w:pStyle w:val="Header"/>
        <w:rPr>
          <w:bCs/>
          <w:noProof w:val="0"/>
          <w:sz w:val="24"/>
          <w:lang w:val="en-GB" w:eastAsia="ja-JP"/>
        </w:rPr>
      </w:pPr>
    </w:p>
    <w:p w14:paraId="2103C997" w14:textId="009CB203"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114873" w:rsidRPr="003252A4">
        <w:rPr>
          <w:rFonts w:cs="Arial"/>
          <w:b/>
          <w:bCs/>
          <w:sz w:val="24"/>
          <w:szCs w:val="24"/>
        </w:rPr>
        <w:t>.3.3.2</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1" w:name="OLE_LINK1"/>
      <w:bookmarkStart w:id="2" w:name="OLE_LINK2"/>
      <w:r w:rsidRPr="003252A4">
        <w:rPr>
          <w:rFonts w:ascii="Arial" w:hAnsi="Arial" w:cs="Arial"/>
          <w:b/>
          <w:bCs/>
          <w:sz w:val="24"/>
          <w:szCs w:val="24"/>
        </w:rPr>
        <w:t>Nokia</w:t>
      </w:r>
      <w:bookmarkEnd w:id="1"/>
      <w:bookmarkEnd w:id="2"/>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159689DC"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1B5941">
        <w:rPr>
          <w:rFonts w:ascii="Arial" w:hAnsi="Arial" w:cs="Arial"/>
          <w:b/>
          <w:bCs/>
          <w:sz w:val="24"/>
          <w:szCs w:val="24"/>
        </w:rPr>
        <w:t>On remaining details</w:t>
      </w:r>
      <w:r w:rsidR="00DA3B87" w:rsidRPr="003252A4">
        <w:rPr>
          <w:rFonts w:ascii="Arial" w:hAnsi="Arial" w:cs="Arial"/>
          <w:b/>
          <w:bCs/>
          <w:sz w:val="24"/>
          <w:szCs w:val="24"/>
        </w:rPr>
        <w:t xml:space="preserve"> </w:t>
      </w:r>
      <w:r w:rsidR="001B5941">
        <w:rPr>
          <w:rFonts w:ascii="Arial" w:hAnsi="Arial" w:cs="Arial"/>
          <w:b/>
          <w:bCs/>
          <w:sz w:val="24"/>
          <w:szCs w:val="24"/>
        </w:rPr>
        <w:t>of HARQ procedure</w:t>
      </w:r>
    </w:p>
    <w:p w14:paraId="11547072" w14:textId="2659D21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00251EAE">
      <w:pPr>
        <w:pStyle w:val="Heading1"/>
      </w:pPr>
      <w:r>
        <w:t xml:space="preserve">1  </w:t>
      </w:r>
      <w:r w:rsidR="00EE7FA7" w:rsidRPr="0016316A">
        <w:t>Introduction</w:t>
      </w:r>
    </w:p>
    <w:p w14:paraId="287E8D3A" w14:textId="77777777" w:rsidR="00114873" w:rsidRPr="003019FF" w:rsidRDefault="00114873" w:rsidP="00B67613">
      <w:pPr>
        <w:spacing w:after="120"/>
        <w:jc w:val="both"/>
        <w:rPr>
          <w:lang w:val="en-US"/>
        </w:rPr>
      </w:pPr>
      <w:r>
        <w:rPr>
          <w:lang w:val="en-US"/>
        </w:rPr>
        <w:t>In RAN plenary #75, WID on new radio (NR) has been approved [1]. T</w:t>
      </w:r>
      <w:r w:rsidRPr="003252A4">
        <w:rPr>
          <w:lang w:val="en-US"/>
        </w:rPr>
        <w:t xml:space="preserve">he NR work item targets to specify the NR functionalities for both enhanced mobile broadband (eMBB) as well as for </w:t>
      </w:r>
      <w:r w:rsidRPr="003252A4">
        <w:rPr>
          <w:lang w:val="en-US" w:eastAsia="ja-JP"/>
        </w:rPr>
        <w:t>ultra-reliable</w:t>
      </w:r>
      <w:r w:rsidRPr="003252A4">
        <w:rPr>
          <w:lang w:val="en-US"/>
        </w:rPr>
        <w:t xml:space="preserve"> low-latency-communication</w:t>
      </w:r>
      <w:r w:rsidRPr="003252A4">
        <w:rPr>
          <w:lang w:val="en-US" w:eastAsia="ja-JP"/>
        </w:rPr>
        <w:t xml:space="preserve"> (</w:t>
      </w:r>
      <w:r>
        <w:rPr>
          <w:lang w:val="en-US"/>
        </w:rPr>
        <w:t>URLLC)</w:t>
      </w:r>
      <w:r w:rsidRPr="003252A4">
        <w:rPr>
          <w:sz w:val="24"/>
          <w:szCs w:val="24"/>
          <w:lang w:val="en-US"/>
        </w:rPr>
        <w:t xml:space="preserve"> </w:t>
      </w:r>
      <w:r>
        <w:rPr>
          <w:lang w:val="en-US"/>
        </w:rPr>
        <w:t xml:space="preserve">as defined in </w:t>
      </w:r>
      <w:r>
        <w:t>TR38.913 [2]</w:t>
      </w:r>
      <w:r>
        <w:rPr>
          <w:lang w:val="en-US"/>
        </w:rPr>
        <w:t xml:space="preserve">. </w:t>
      </w:r>
      <w:r w:rsidRPr="003252A4">
        <w:t>Frequency ranges up to 52.6 GHz are considered under the NR work item</w:t>
      </w:r>
    </w:p>
    <w:p w14:paraId="1D27BD2F" w14:textId="68544148" w:rsidR="0029703E" w:rsidRPr="003019FF" w:rsidRDefault="00114873" w:rsidP="00B67613">
      <w:pPr>
        <w:spacing w:after="120"/>
        <w:jc w:val="both"/>
        <w:rPr>
          <w:lang w:val="en-US"/>
        </w:rPr>
      </w:pPr>
      <w:r w:rsidRPr="003252A4">
        <w:rPr>
          <w:lang w:val="en-US"/>
        </w:rPr>
        <w:t xml:space="preserve">This contribution relates to the open aspects of HARQ processes and their management. In </w:t>
      </w:r>
      <w:r w:rsidR="0057216F" w:rsidRPr="003252A4">
        <w:rPr>
          <w:lang w:val="en-US"/>
        </w:rPr>
        <w:t>Section 2, we consider</w:t>
      </w:r>
      <w:r w:rsidR="00BC30B1" w:rsidRPr="003252A4">
        <w:rPr>
          <w:lang w:val="en-US"/>
        </w:rPr>
        <w:t xml:space="preserve"> the </w:t>
      </w:r>
      <w:r w:rsidR="0057216F" w:rsidRPr="00CA1F91">
        <w:rPr>
          <w:lang w:val="en-US"/>
        </w:rPr>
        <w:t>remaining details on HARQ feedback timing for DL HARQ, in Section 3, we address HARQ feedback determination, and in Section 4 we discuss the number of HA</w:t>
      </w:r>
      <w:r w:rsidR="0029703E" w:rsidRPr="00CA1F91">
        <w:rPr>
          <w:lang w:val="en-US"/>
        </w:rPr>
        <w:t>RQ processes. Observations and proposals are summarized in Section 5.</w:t>
      </w:r>
    </w:p>
    <w:p w14:paraId="18916B13" w14:textId="0579FFC6" w:rsidR="0029703E" w:rsidRDefault="0029703E" w:rsidP="0029703E">
      <w:pPr>
        <w:pStyle w:val="Heading1"/>
      </w:pPr>
      <w:r>
        <w:rPr>
          <w:color w:val="000000"/>
        </w:rPr>
        <w:t>2</w:t>
      </w:r>
      <w:r w:rsidR="00251EAE">
        <w:rPr>
          <w:color w:val="000000"/>
        </w:rPr>
        <w:t xml:space="preserve">  </w:t>
      </w:r>
      <w:r w:rsidR="004D29CA">
        <w:rPr>
          <w:color w:val="000000"/>
        </w:rPr>
        <w:t>HARQ feedback timing</w:t>
      </w:r>
      <w:r w:rsidR="001B5941">
        <w:rPr>
          <w:color w:val="000000"/>
        </w:rPr>
        <w:t xml:space="preserve"> </w:t>
      </w:r>
    </w:p>
    <w:p w14:paraId="595F68F3" w14:textId="6DB05464" w:rsidR="008668AA" w:rsidRDefault="004D29CA" w:rsidP="00754993">
      <w:pPr>
        <w:spacing w:after="120"/>
        <w:jc w:val="both"/>
        <w:rPr>
          <w:lang w:val="en-US"/>
        </w:rPr>
      </w:pPr>
      <w:r w:rsidRPr="003252A4">
        <w:t xml:space="preserve">In this section we consider the remaining details concerning the timing for DL HARQ in the NR, namely the delay </w:t>
      </w:r>
      <w:r w:rsidRPr="00AD3E93">
        <w:rPr>
          <w:rFonts w:eastAsia="MS Mincho"/>
          <w:lang w:val="en-US" w:eastAsia="ja-JP"/>
        </w:rPr>
        <w:t>between DL data (PDSCH) reception and corresponding acknowledgement transmission in UL (</w:t>
      </w:r>
      <w:r w:rsidRPr="003252A4">
        <w:rPr>
          <w:rFonts w:eastAsia="MS Mincho"/>
          <w:b/>
          <w:bCs/>
          <w:i/>
          <w:iCs/>
          <w:lang w:val="en-US" w:eastAsia="ja-JP"/>
        </w:rPr>
        <w:t>K1</w:t>
      </w:r>
      <w:r w:rsidR="00EB678D">
        <w:rPr>
          <w:rFonts w:eastAsia="MS Mincho"/>
          <w:lang w:val="en-US" w:eastAsia="ja-JP"/>
        </w:rPr>
        <w:t>)</w:t>
      </w:r>
      <w:r w:rsidRPr="003252A4">
        <w:t xml:space="preserve">. </w:t>
      </w:r>
      <w:r w:rsidR="008668AA">
        <w:rPr>
          <w:rFonts w:eastAsia="MS Mincho"/>
          <w:lang w:val="en-US" w:eastAsia="ja-JP"/>
        </w:rPr>
        <w:t>The following agreements were made in RAN1#90bis:</w:t>
      </w:r>
    </w:p>
    <w:p w14:paraId="40357F3F" w14:textId="77777777" w:rsidR="008668AA" w:rsidRDefault="008668AA" w:rsidP="00B67613">
      <w:pPr>
        <w:spacing w:after="0"/>
        <w:jc w:val="both"/>
        <w:rPr>
          <w:lang w:val="en-US"/>
        </w:rPr>
      </w:pPr>
    </w:p>
    <w:p w14:paraId="770DFC36" w14:textId="77777777" w:rsidR="008668AA" w:rsidRPr="00754993" w:rsidRDefault="008668AA" w:rsidP="008668AA">
      <w:pPr>
        <w:spacing w:after="0"/>
        <w:rPr>
          <w:b/>
          <w:sz w:val="18"/>
          <w:szCs w:val="17"/>
        </w:rPr>
      </w:pPr>
      <w:r w:rsidRPr="00754993">
        <w:rPr>
          <w:b/>
          <w:sz w:val="18"/>
          <w:szCs w:val="17"/>
          <w:highlight w:val="green"/>
        </w:rPr>
        <w:t>Agreements</w:t>
      </w:r>
      <w:r w:rsidRPr="00754993">
        <w:rPr>
          <w:b/>
          <w:sz w:val="18"/>
          <w:szCs w:val="17"/>
        </w:rPr>
        <w:t>:</w:t>
      </w:r>
    </w:p>
    <w:p w14:paraId="6E91A28B" w14:textId="77777777" w:rsidR="008668AA" w:rsidRPr="00754993" w:rsidRDefault="008668AA" w:rsidP="008668AA">
      <w:pPr>
        <w:numPr>
          <w:ilvl w:val="0"/>
          <w:numId w:val="52"/>
        </w:numPr>
        <w:overflowPunct/>
        <w:autoSpaceDE/>
        <w:autoSpaceDN/>
        <w:adjustRightInd/>
        <w:spacing w:after="0"/>
        <w:textAlignment w:val="auto"/>
        <w:rPr>
          <w:i/>
          <w:sz w:val="18"/>
          <w:szCs w:val="17"/>
        </w:rPr>
      </w:pPr>
      <w:r w:rsidRPr="00754993">
        <w:rPr>
          <w:i/>
          <w:sz w:val="18"/>
          <w:szCs w:val="17"/>
        </w:rPr>
        <w:t xml:space="preserve">The timing between DL data transmission and acknowledgement is determined based on 0 or [2] bits in DCI </w:t>
      </w:r>
    </w:p>
    <w:p w14:paraId="6415AEB2" w14:textId="77777777" w:rsidR="008668AA" w:rsidRPr="00754993" w:rsidRDefault="008668AA" w:rsidP="008668AA">
      <w:pPr>
        <w:numPr>
          <w:ilvl w:val="1"/>
          <w:numId w:val="52"/>
        </w:numPr>
        <w:overflowPunct/>
        <w:autoSpaceDE/>
        <w:autoSpaceDN/>
        <w:adjustRightInd/>
        <w:spacing w:after="0"/>
        <w:textAlignment w:val="auto"/>
        <w:rPr>
          <w:i/>
          <w:sz w:val="18"/>
          <w:szCs w:val="17"/>
        </w:rPr>
      </w:pPr>
      <w:r w:rsidRPr="00754993">
        <w:rPr>
          <w:i/>
          <w:sz w:val="18"/>
          <w:szCs w:val="17"/>
        </w:rPr>
        <w:t>For both slot and non-slot scheduling, the timing provides the indication to determine the slot and the symbol(s) for the HARQ-ACK transmission</w:t>
      </w:r>
    </w:p>
    <w:p w14:paraId="2EDBDAC7" w14:textId="77777777" w:rsidR="008668AA" w:rsidRPr="00754993" w:rsidRDefault="008668AA" w:rsidP="008668AA">
      <w:pPr>
        <w:pStyle w:val="ListParagraph"/>
        <w:numPr>
          <w:ilvl w:val="1"/>
          <w:numId w:val="52"/>
        </w:numPr>
        <w:contextualSpacing w:val="0"/>
        <w:rPr>
          <w:i/>
          <w:sz w:val="18"/>
          <w:szCs w:val="17"/>
          <w:lang w:val="en-US"/>
        </w:rPr>
      </w:pPr>
      <w:r w:rsidRPr="00754993">
        <w:rPr>
          <w:i/>
          <w:sz w:val="18"/>
          <w:szCs w:val="17"/>
          <w:lang w:val="en-US"/>
        </w:rPr>
        <w:t>In case of [2]-bits, FFS the actual set of values for slot-based scheduling and non-slot based scheduling, respectively</w:t>
      </w:r>
    </w:p>
    <w:p w14:paraId="4364BE4A" w14:textId="77777777" w:rsidR="008668AA" w:rsidRPr="00754993" w:rsidRDefault="008668AA" w:rsidP="008668AA">
      <w:pPr>
        <w:pStyle w:val="ListParagraph"/>
        <w:numPr>
          <w:ilvl w:val="1"/>
          <w:numId w:val="52"/>
        </w:numPr>
        <w:contextualSpacing w:val="0"/>
        <w:rPr>
          <w:i/>
          <w:sz w:val="18"/>
          <w:szCs w:val="17"/>
          <w:lang w:val="en-US"/>
        </w:rPr>
      </w:pPr>
      <w:r w:rsidRPr="00754993">
        <w:rPr>
          <w:i/>
          <w:sz w:val="18"/>
          <w:szCs w:val="17"/>
          <w:lang w:val="en-US"/>
        </w:rPr>
        <w:t>In case of 0-bit, FFS how to determine the single timing (e.g., UE capability dependent, whether or not to have RRC configuration, the interactions with different cases (e.g., initial access), etc.)</w:t>
      </w:r>
    </w:p>
    <w:p w14:paraId="0AE4E6FE" w14:textId="77777777" w:rsidR="008668AA" w:rsidRPr="00754993" w:rsidRDefault="008668AA" w:rsidP="008668AA">
      <w:pPr>
        <w:pStyle w:val="ListParagraph"/>
        <w:numPr>
          <w:ilvl w:val="1"/>
          <w:numId w:val="52"/>
        </w:numPr>
        <w:contextualSpacing w:val="0"/>
        <w:rPr>
          <w:i/>
          <w:sz w:val="18"/>
          <w:szCs w:val="17"/>
          <w:lang w:val="en-US"/>
        </w:rPr>
      </w:pPr>
      <w:r w:rsidRPr="00754993">
        <w:rPr>
          <w:i/>
          <w:sz w:val="18"/>
          <w:szCs w:val="17"/>
          <w:lang w:val="en-US"/>
        </w:rPr>
        <w:t>FFS whether or not to have separate information fields or a same information field for HARQ-ACK resource determation and HARQ-timing determination</w:t>
      </w:r>
    </w:p>
    <w:p w14:paraId="01355BC3" w14:textId="77777777" w:rsidR="008668AA" w:rsidRDefault="008668AA" w:rsidP="00B67613">
      <w:pPr>
        <w:spacing w:after="0"/>
        <w:jc w:val="both"/>
        <w:rPr>
          <w:lang w:val="en-US"/>
        </w:rPr>
      </w:pPr>
    </w:p>
    <w:p w14:paraId="71563A1F" w14:textId="2F94AB20" w:rsidR="008668AA" w:rsidRDefault="008668AA" w:rsidP="00B67613">
      <w:pPr>
        <w:spacing w:after="0"/>
        <w:jc w:val="both"/>
        <w:rPr>
          <w:rFonts w:eastAsia="MS Mincho"/>
          <w:lang w:val="en-US" w:eastAsia="ja-JP"/>
        </w:rPr>
      </w:pPr>
      <w:r>
        <w:rPr>
          <w:rFonts w:eastAsia="MS Mincho"/>
          <w:lang w:val="en-US" w:eastAsia="ja-JP"/>
        </w:rPr>
        <w:t xml:space="preserve">Based on the agreement, the timing between DL data transmission and ACK is based on </w:t>
      </w:r>
      <w:r w:rsidRPr="00754993">
        <w:rPr>
          <w:rFonts w:eastAsia="MS Mincho"/>
          <w:i/>
          <w:lang w:val="en-US" w:eastAsia="ja-JP"/>
        </w:rPr>
        <w:t>0 or</w:t>
      </w:r>
      <w:r>
        <w:rPr>
          <w:rFonts w:eastAsia="MS Mincho"/>
          <w:lang w:val="en-US" w:eastAsia="ja-JP"/>
        </w:rPr>
        <w:t xml:space="preserve"> </w:t>
      </w:r>
      <w:r w:rsidRPr="00754993">
        <w:rPr>
          <w:rFonts w:eastAsia="MS Mincho"/>
          <w:i/>
          <w:lang w:val="en-US" w:eastAsia="ja-JP"/>
        </w:rPr>
        <w:t>[2]</w:t>
      </w:r>
      <w:r>
        <w:rPr>
          <w:rFonts w:eastAsia="MS Mincho"/>
          <w:lang w:val="en-US" w:eastAsia="ja-JP"/>
        </w:rPr>
        <w:t xml:space="preserve"> </w:t>
      </w:r>
      <w:r w:rsidRPr="00754993">
        <w:rPr>
          <w:rFonts w:eastAsia="MS Mincho"/>
          <w:i/>
          <w:lang w:val="en-US" w:eastAsia="ja-JP"/>
        </w:rPr>
        <w:t>bits</w:t>
      </w:r>
      <w:r>
        <w:rPr>
          <w:rFonts w:eastAsia="MS Mincho"/>
          <w:lang w:val="en-US" w:eastAsia="ja-JP"/>
        </w:rPr>
        <w:t xml:space="preserve"> in DCI. </w:t>
      </w:r>
    </w:p>
    <w:p w14:paraId="697AEF1C" w14:textId="26C7C30D" w:rsidR="008668AA" w:rsidRDefault="008668AA" w:rsidP="00754993">
      <w:pPr>
        <w:pStyle w:val="ListParagraph"/>
        <w:numPr>
          <w:ilvl w:val="0"/>
          <w:numId w:val="53"/>
        </w:numPr>
        <w:jc w:val="both"/>
        <w:rPr>
          <w:lang w:val="en-US"/>
        </w:rPr>
      </w:pPr>
      <w:r w:rsidRPr="00754993">
        <w:rPr>
          <w:sz w:val="20"/>
          <w:szCs w:val="20"/>
          <w:lang w:val="en-US"/>
        </w:rPr>
        <w:t xml:space="preserve">0 </w:t>
      </w:r>
      <w:r>
        <w:rPr>
          <w:sz w:val="20"/>
          <w:szCs w:val="20"/>
          <w:lang w:val="en-US"/>
        </w:rPr>
        <w:t>bits corresponds to semi-static timing, which can be used e.g. for FDD</w:t>
      </w:r>
    </w:p>
    <w:p w14:paraId="58928032" w14:textId="59CED7DF" w:rsidR="008668AA" w:rsidRDefault="008668AA" w:rsidP="00754993">
      <w:pPr>
        <w:pStyle w:val="ListParagraph"/>
        <w:numPr>
          <w:ilvl w:val="0"/>
          <w:numId w:val="53"/>
        </w:numPr>
        <w:jc w:val="both"/>
        <w:rPr>
          <w:lang w:val="en-US"/>
        </w:rPr>
      </w:pPr>
      <w:r>
        <w:rPr>
          <w:sz w:val="20"/>
          <w:szCs w:val="20"/>
          <w:lang w:val="en-US"/>
        </w:rPr>
        <w:t xml:space="preserve">2 bits allows to select </w:t>
      </w:r>
      <w:r w:rsidR="00D6267E">
        <w:rPr>
          <w:sz w:val="20"/>
          <w:szCs w:val="20"/>
          <w:lang w:val="en-US"/>
        </w:rPr>
        <w:t xml:space="preserve">timing </w:t>
      </w:r>
      <w:r>
        <w:rPr>
          <w:sz w:val="20"/>
          <w:szCs w:val="20"/>
          <w:lang w:val="en-US"/>
        </w:rPr>
        <w:t>dynamically from four predefined timing values</w:t>
      </w:r>
    </w:p>
    <w:p w14:paraId="3FEDF2B3" w14:textId="77777777" w:rsidR="00711B57" w:rsidRDefault="00711B57" w:rsidP="007775B5">
      <w:pPr>
        <w:spacing w:after="0"/>
        <w:jc w:val="both"/>
        <w:rPr>
          <w:lang w:val="en-US"/>
        </w:rPr>
      </w:pPr>
    </w:p>
    <w:p w14:paraId="238AFF14" w14:textId="0049FC44" w:rsidR="003341A8" w:rsidRDefault="003341A8" w:rsidP="00754993">
      <w:pPr>
        <w:jc w:val="both"/>
        <w:rPr>
          <w:lang w:val="en-US"/>
        </w:rPr>
      </w:pPr>
      <w:r>
        <w:rPr>
          <w:lang w:val="en-US"/>
        </w:rPr>
        <w:t>It is noted that four values may not be sufficient to cover all foreseen cases. For example, in TDD scenarios where long PUCCH is needed for HARQ-ACK coverage</w:t>
      </w:r>
      <w:r w:rsidR="002A027C">
        <w:rPr>
          <w:lang w:val="en-US"/>
        </w:rPr>
        <w:t xml:space="preserve"> </w:t>
      </w:r>
      <w:r w:rsidR="008713B5">
        <w:rPr>
          <w:lang w:val="en-US"/>
        </w:rPr>
        <w:t>reasons</w:t>
      </w:r>
      <w:r w:rsidR="00CD3594">
        <w:rPr>
          <w:lang w:val="en-US"/>
        </w:rPr>
        <w:t>,</w:t>
      </w:r>
      <w:r>
        <w:rPr>
          <w:lang w:val="en-US"/>
        </w:rPr>
        <w:t xml:space="preserve"> the maximum DL-UL ratio is limited to 80%. This is less than what can be supported </w:t>
      </w:r>
      <w:r w:rsidR="00CD3594">
        <w:rPr>
          <w:lang w:val="en-US"/>
        </w:rPr>
        <w:t>by</w:t>
      </w:r>
      <w:r>
        <w:rPr>
          <w:lang w:val="en-US"/>
        </w:rPr>
        <w:t xml:space="preserve"> Rel-8 LTE TDD.</w:t>
      </w:r>
      <w:r w:rsidR="001A3D32">
        <w:rPr>
          <w:lang w:val="en-US"/>
        </w:rPr>
        <w:t xml:space="preserve"> Another limitation becomes from LTE-NR coexistence scenarios. </w:t>
      </w:r>
      <w:r w:rsidR="00711B57">
        <w:rPr>
          <w:lang w:val="en-US"/>
        </w:rPr>
        <w:t>Having only 2 bits</w:t>
      </w:r>
      <w:r w:rsidR="00CD3594">
        <w:rPr>
          <w:lang w:val="en-US"/>
        </w:rPr>
        <w:t xml:space="preserve"> </w:t>
      </w:r>
      <w:r w:rsidR="009911D8">
        <w:rPr>
          <w:lang w:val="en-US"/>
        </w:rPr>
        <w:t>available in DCI for dymanic HARQ-ACK timing</w:t>
      </w:r>
      <w:r w:rsidR="00CD3594">
        <w:rPr>
          <w:lang w:val="en-US"/>
        </w:rPr>
        <w:t xml:space="preserve"> </w:t>
      </w:r>
      <w:r w:rsidR="009911D8">
        <w:rPr>
          <w:lang w:val="en-US"/>
        </w:rPr>
        <w:t>adjustment</w:t>
      </w:r>
      <w:r w:rsidR="00711B57">
        <w:rPr>
          <w:lang w:val="en-US"/>
        </w:rPr>
        <w:t xml:space="preserve"> can be seen as a severe limitation </w:t>
      </w:r>
      <w:r w:rsidR="009911D8">
        <w:rPr>
          <w:lang w:val="en-US"/>
        </w:rPr>
        <w:t xml:space="preserve">in terms of facilitating similar TDD configurations for </w:t>
      </w:r>
      <w:r w:rsidR="00BB35C4">
        <w:rPr>
          <w:lang w:val="en-US"/>
        </w:rPr>
        <w:t xml:space="preserve">both </w:t>
      </w:r>
      <w:r w:rsidR="009911D8">
        <w:rPr>
          <w:lang w:val="en-US"/>
        </w:rPr>
        <w:t>NR and LTE TDD</w:t>
      </w:r>
      <w:r w:rsidR="00711B57">
        <w:rPr>
          <w:lang w:val="en-US"/>
        </w:rPr>
        <w:t>.</w:t>
      </w:r>
      <w:r w:rsidR="008713B5">
        <w:rPr>
          <w:lang w:val="en-US"/>
        </w:rPr>
        <w:t xml:space="preserve"> </w:t>
      </w:r>
      <w:r w:rsidR="00711B57">
        <w:rPr>
          <w:lang w:val="en-US"/>
        </w:rPr>
        <w:t xml:space="preserve"> </w:t>
      </w:r>
    </w:p>
    <w:p w14:paraId="42F16C22" w14:textId="231750C6" w:rsidR="00711B57" w:rsidRDefault="00711B57" w:rsidP="00711B57">
      <w:pPr>
        <w:overflowPunct/>
        <w:autoSpaceDE/>
        <w:autoSpaceDN/>
        <w:adjustRightInd/>
        <w:textAlignment w:val="auto"/>
        <w:rPr>
          <w:rFonts w:eastAsia="MS Mincho"/>
          <w:i/>
          <w:iCs/>
          <w:lang w:val="en-US" w:eastAsia="ja-JP"/>
        </w:rPr>
      </w:pPr>
      <w:r w:rsidRPr="003252A4">
        <w:rPr>
          <w:rFonts w:eastAsia="MS Mincho"/>
          <w:b/>
          <w:bCs/>
          <w:i/>
          <w:iCs/>
          <w:lang w:val="en-US" w:eastAsia="ja-JP"/>
        </w:rPr>
        <w:t>Proposal #</w:t>
      </w:r>
      <w:r w:rsidR="00BB35C4">
        <w:rPr>
          <w:rFonts w:eastAsia="MS Mincho"/>
          <w:b/>
          <w:bCs/>
          <w:i/>
          <w:iCs/>
          <w:lang w:val="en-US" w:eastAsia="ja-JP"/>
        </w:rPr>
        <w:t>1</w:t>
      </w:r>
      <w:r w:rsidRPr="003252A4">
        <w:rPr>
          <w:rFonts w:eastAsia="MS Mincho"/>
          <w:b/>
          <w:bCs/>
          <w:i/>
          <w:iCs/>
          <w:lang w:val="en-US" w:eastAsia="ja-JP"/>
        </w:rPr>
        <w:t xml:space="preserve">: </w:t>
      </w:r>
      <w:r>
        <w:rPr>
          <w:rFonts w:eastAsia="MS Mincho"/>
          <w:i/>
          <w:iCs/>
          <w:lang w:val="en-US" w:eastAsia="ja-JP"/>
        </w:rPr>
        <w:t>T</w:t>
      </w:r>
      <w:r w:rsidRPr="00711B57">
        <w:rPr>
          <w:rFonts w:eastAsia="MS Mincho"/>
          <w:i/>
          <w:iCs/>
          <w:lang w:val="en-US" w:eastAsia="ja-JP"/>
        </w:rPr>
        <w:t>iming between DL data transmission and acknowledgement is determined based</w:t>
      </w:r>
      <w:r>
        <w:rPr>
          <w:rFonts w:eastAsia="MS Mincho"/>
          <w:i/>
          <w:iCs/>
          <w:lang w:val="en-US" w:eastAsia="ja-JP"/>
        </w:rPr>
        <w:t xml:space="preserve"> on</w:t>
      </w:r>
      <w:r w:rsidRPr="00711B57">
        <w:rPr>
          <w:rFonts w:eastAsia="MS Mincho"/>
          <w:i/>
          <w:iCs/>
          <w:lang w:val="en-US" w:eastAsia="ja-JP"/>
        </w:rPr>
        <w:t xml:space="preserve"> </w:t>
      </w:r>
      <w:r w:rsidRPr="00754993">
        <w:rPr>
          <w:rFonts w:eastAsia="MS Mincho"/>
          <w:i/>
          <w:strike/>
          <w:lang w:val="en-US" w:eastAsia="ja-JP"/>
        </w:rPr>
        <w:t>0 or</w:t>
      </w:r>
      <w:r w:rsidRPr="00754993">
        <w:rPr>
          <w:rFonts w:eastAsia="MS Mincho"/>
          <w:strike/>
          <w:lang w:val="en-US" w:eastAsia="ja-JP"/>
        </w:rPr>
        <w:t xml:space="preserve"> </w:t>
      </w:r>
      <w:r w:rsidRPr="00754993">
        <w:rPr>
          <w:rFonts w:eastAsia="MS Mincho"/>
          <w:i/>
          <w:strike/>
          <w:lang w:val="en-US" w:eastAsia="ja-JP"/>
        </w:rPr>
        <w:t>[2]</w:t>
      </w:r>
      <w:r>
        <w:rPr>
          <w:rFonts w:eastAsia="MS Mincho"/>
          <w:i/>
          <w:strike/>
          <w:lang w:val="en-US" w:eastAsia="ja-JP"/>
        </w:rPr>
        <w:t>bits</w:t>
      </w:r>
      <w:r>
        <w:rPr>
          <w:rFonts w:eastAsia="MS Mincho"/>
          <w:i/>
          <w:lang w:val="en-US" w:eastAsia="ja-JP"/>
        </w:rPr>
        <w:t xml:space="preserve"> </w:t>
      </w:r>
      <w:r w:rsidRPr="00754993">
        <w:rPr>
          <w:rFonts w:eastAsia="MS Mincho"/>
          <w:i/>
          <w:iCs/>
          <w:color w:val="FF0000"/>
          <w:lang w:val="en-US" w:eastAsia="ja-JP"/>
        </w:rPr>
        <w:t>up-to 3 bits</w:t>
      </w:r>
      <w:r w:rsidRPr="00711B57">
        <w:rPr>
          <w:rFonts w:eastAsia="MS Mincho"/>
          <w:i/>
          <w:iCs/>
          <w:lang w:val="en-US" w:eastAsia="ja-JP"/>
        </w:rPr>
        <w:t xml:space="preserve"> in DCI</w:t>
      </w:r>
    </w:p>
    <w:p w14:paraId="65B77010" w14:textId="33EC115E" w:rsidR="00711B57" w:rsidRDefault="00711B57" w:rsidP="007775B5">
      <w:pPr>
        <w:spacing w:after="0"/>
        <w:jc w:val="both"/>
        <w:rPr>
          <w:lang w:val="en-US"/>
        </w:rPr>
      </w:pPr>
      <w:r>
        <w:rPr>
          <w:lang w:val="en-US"/>
        </w:rPr>
        <w:t xml:space="preserve">One of the FFS issues related time HARQ-timing determination is </w:t>
      </w:r>
      <w:r w:rsidRPr="00711B57">
        <w:rPr>
          <w:lang w:val="en-US"/>
        </w:rPr>
        <w:t>whether or not to have separate information fields or a same information field for HARQ-ACK resource determation and HARQ-timing determination</w:t>
      </w:r>
      <w:r>
        <w:rPr>
          <w:lang w:val="en-US"/>
        </w:rPr>
        <w:t xml:space="preserve">. </w:t>
      </w:r>
      <w:r w:rsidR="00584C69">
        <w:rPr>
          <w:lang w:val="en-US"/>
        </w:rPr>
        <w:t>For e</w:t>
      </w:r>
      <w:r w:rsidR="008C3453">
        <w:rPr>
          <w:lang w:val="en-US"/>
        </w:rPr>
        <w:t>x</w:t>
      </w:r>
      <w:r w:rsidR="00584C69">
        <w:rPr>
          <w:lang w:val="en-US"/>
        </w:rPr>
        <w:t xml:space="preserve">ample, when operating according to slot based operation the actual symbols used for PUCCH vary according to </w:t>
      </w:r>
      <w:r w:rsidR="00CD3594">
        <w:rPr>
          <w:lang w:val="en-US"/>
        </w:rPr>
        <w:t xml:space="preserve">the </w:t>
      </w:r>
      <w:r w:rsidR="00584C69">
        <w:rPr>
          <w:lang w:val="en-US"/>
        </w:rPr>
        <w:t>scenario:</w:t>
      </w:r>
      <w:r>
        <w:rPr>
          <w:lang w:val="en-US"/>
        </w:rPr>
        <w:t xml:space="preserve"> </w:t>
      </w:r>
    </w:p>
    <w:p w14:paraId="4C90CBC7" w14:textId="7EB7AF00" w:rsidR="00584C69" w:rsidRDefault="00584C69" w:rsidP="00754993">
      <w:pPr>
        <w:pStyle w:val="ListParagraph"/>
        <w:numPr>
          <w:ilvl w:val="0"/>
          <w:numId w:val="54"/>
        </w:numPr>
        <w:jc w:val="both"/>
        <w:rPr>
          <w:lang w:val="en-US"/>
        </w:rPr>
      </w:pPr>
      <w:r>
        <w:rPr>
          <w:sz w:val="20"/>
          <w:szCs w:val="20"/>
          <w:lang w:val="en-US"/>
        </w:rPr>
        <w:t>Long PUCCH: UL slot</w:t>
      </w:r>
      <w:r w:rsidR="00CD3594">
        <w:rPr>
          <w:sz w:val="20"/>
          <w:szCs w:val="20"/>
          <w:lang w:val="en-US"/>
        </w:rPr>
        <w:t xml:space="preserve"> </w:t>
      </w:r>
    </w:p>
    <w:p w14:paraId="7DB586D1" w14:textId="77777777" w:rsidR="00584C69" w:rsidRDefault="00584C69" w:rsidP="00754993">
      <w:pPr>
        <w:pStyle w:val="ListParagraph"/>
        <w:numPr>
          <w:ilvl w:val="0"/>
          <w:numId w:val="54"/>
        </w:numPr>
        <w:jc w:val="both"/>
        <w:rPr>
          <w:lang w:val="en-US"/>
        </w:rPr>
      </w:pPr>
      <w:r>
        <w:rPr>
          <w:sz w:val="20"/>
          <w:szCs w:val="20"/>
          <w:lang w:val="en-US"/>
        </w:rPr>
        <w:t>Long PUCCH: Bi-directinal UL slot</w:t>
      </w:r>
    </w:p>
    <w:p w14:paraId="679333F1" w14:textId="06F05A51" w:rsidR="00584C69" w:rsidRDefault="00584C69" w:rsidP="00754993">
      <w:pPr>
        <w:pStyle w:val="ListParagraph"/>
        <w:numPr>
          <w:ilvl w:val="0"/>
          <w:numId w:val="54"/>
        </w:numPr>
        <w:jc w:val="both"/>
        <w:rPr>
          <w:lang w:val="en-US"/>
        </w:rPr>
      </w:pPr>
      <w:r>
        <w:rPr>
          <w:sz w:val="20"/>
          <w:szCs w:val="20"/>
          <w:lang w:val="en-US"/>
        </w:rPr>
        <w:t xml:space="preserve">Short PUCCH </w:t>
      </w:r>
    </w:p>
    <w:p w14:paraId="4DC58202" w14:textId="5D67D13F" w:rsidR="00584C69" w:rsidRPr="00754993" w:rsidRDefault="00584C69" w:rsidP="00754993">
      <w:pPr>
        <w:jc w:val="both"/>
        <w:rPr>
          <w:lang w:val="en-US"/>
        </w:rPr>
      </w:pPr>
      <w:r>
        <w:rPr>
          <w:lang w:val="en-US"/>
        </w:rPr>
        <w:t>We think that in the case of slot based operation PUCCH resource allocation is the best way to manage the PUCCH format adaptation</w:t>
      </w:r>
      <w:r w:rsidR="008C3453">
        <w:rPr>
          <w:lang w:val="en-US"/>
        </w:rPr>
        <w:t xml:space="preserve"> (i.e. the actual symbols used for PUCCH)</w:t>
      </w:r>
      <w:r>
        <w:rPr>
          <w:lang w:val="en-US"/>
        </w:rPr>
        <w:t xml:space="preserve">. </w:t>
      </w:r>
      <w:r w:rsidR="00BB35C4">
        <w:rPr>
          <w:lang w:val="en-US"/>
        </w:rPr>
        <w:t xml:space="preserve">This would mean that up-to [3] bits in DCI would indicate only slot </w:t>
      </w:r>
      <w:r w:rsidR="00BB35C4">
        <w:rPr>
          <w:lang w:val="en-US"/>
        </w:rPr>
        <w:lastRenderedPageBreak/>
        <w:t xml:space="preserve">delay between PDSCH reception in DL and the corresponding HARQ-ACK transmission in UL. </w:t>
      </w:r>
      <w:r>
        <w:rPr>
          <w:lang w:val="en-US"/>
        </w:rPr>
        <w:t xml:space="preserve">On the other hand, when operating according to non-slot based operation, it is more straightforward to </w:t>
      </w:r>
      <w:r w:rsidR="008C3453">
        <w:rPr>
          <w:lang w:val="en-US"/>
        </w:rPr>
        <w:t xml:space="preserve">define that </w:t>
      </w:r>
      <w:r w:rsidR="008C3453" w:rsidRPr="00754993">
        <w:rPr>
          <w:rFonts w:eastAsia="MS Mincho"/>
          <w:iCs/>
          <w:lang w:val="en-US" w:eastAsia="ja-JP"/>
        </w:rPr>
        <w:t xml:space="preserve">up-to </w:t>
      </w:r>
      <w:r w:rsidR="00EB678D">
        <w:rPr>
          <w:rFonts w:eastAsia="MS Mincho"/>
          <w:iCs/>
          <w:lang w:val="en-US" w:eastAsia="ja-JP"/>
        </w:rPr>
        <w:t>[</w:t>
      </w:r>
      <w:r w:rsidR="008C3453" w:rsidRPr="00754993">
        <w:rPr>
          <w:rFonts w:eastAsia="MS Mincho"/>
          <w:iCs/>
          <w:lang w:val="en-US" w:eastAsia="ja-JP"/>
        </w:rPr>
        <w:t>3</w:t>
      </w:r>
      <w:r w:rsidR="00EB678D">
        <w:rPr>
          <w:rFonts w:eastAsia="MS Mincho"/>
          <w:iCs/>
          <w:lang w:val="en-US" w:eastAsia="ja-JP"/>
        </w:rPr>
        <w:t>]</w:t>
      </w:r>
      <w:r w:rsidR="008C3453" w:rsidRPr="00754993">
        <w:rPr>
          <w:rFonts w:eastAsia="MS Mincho"/>
          <w:iCs/>
          <w:lang w:val="en-US" w:eastAsia="ja-JP"/>
        </w:rPr>
        <w:t xml:space="preserve"> bits in DCI indicate</w:t>
      </w:r>
      <w:r w:rsidR="008C3453">
        <w:rPr>
          <w:rFonts w:eastAsia="MS Mincho"/>
          <w:iCs/>
          <w:lang w:val="en-US" w:eastAsia="ja-JP"/>
        </w:rPr>
        <w:t xml:space="preserve"> an index </w:t>
      </w:r>
      <w:r w:rsidR="008713B5">
        <w:rPr>
          <w:rFonts w:eastAsia="MS Mincho"/>
          <w:iCs/>
          <w:lang w:val="en-US" w:eastAsia="ja-JP"/>
        </w:rPr>
        <w:t xml:space="preserve">in </w:t>
      </w:r>
      <w:r w:rsidR="00EB678D">
        <w:rPr>
          <w:rFonts w:eastAsia="MS Mincho"/>
          <w:iCs/>
          <w:lang w:val="en-US" w:eastAsia="ja-JP"/>
        </w:rPr>
        <w:t>the</w:t>
      </w:r>
      <w:r w:rsidR="008C3453">
        <w:rPr>
          <w:rFonts w:eastAsia="MS Mincho"/>
          <w:iCs/>
          <w:lang w:val="en-US" w:eastAsia="ja-JP"/>
        </w:rPr>
        <w:t xml:space="preserve"> predefined table containing</w:t>
      </w:r>
      <w:r w:rsidR="008C3453" w:rsidRPr="00754993">
        <w:rPr>
          <w:rFonts w:eastAsia="MS Mincho"/>
          <w:iCs/>
          <w:lang w:val="en-US" w:eastAsia="ja-JP"/>
        </w:rPr>
        <w:t xml:space="preserve"> the </w:t>
      </w:r>
      <w:r w:rsidR="008C3453">
        <w:rPr>
          <w:rFonts w:eastAsia="MS Mincho"/>
          <w:iCs/>
          <w:lang w:val="en-US" w:eastAsia="ja-JP"/>
        </w:rPr>
        <w:t xml:space="preserve">start/end </w:t>
      </w:r>
      <w:r w:rsidR="008C3453" w:rsidRPr="00754993">
        <w:rPr>
          <w:rFonts w:eastAsia="MS Mincho"/>
          <w:iCs/>
          <w:lang w:val="en-US" w:eastAsia="ja-JP"/>
        </w:rPr>
        <w:t>symbol(s) for the HARQ-ACK transmission</w:t>
      </w:r>
      <w:r w:rsidR="00906521">
        <w:rPr>
          <w:rFonts w:eastAsia="MS Mincho"/>
          <w:iCs/>
          <w:lang w:val="en-US" w:eastAsia="ja-JP"/>
        </w:rPr>
        <w:t xml:space="preserve"> similarly as for PUSCH mini-slots</w:t>
      </w:r>
      <w:r w:rsidR="00EB678D">
        <w:rPr>
          <w:rFonts w:eastAsia="MS Mincho"/>
          <w:iCs/>
          <w:lang w:val="en-US" w:eastAsia="ja-JP"/>
        </w:rPr>
        <w:t xml:space="preserve"> [7]</w:t>
      </w:r>
      <w:r w:rsidRPr="007775B5">
        <w:rPr>
          <w:lang w:val="en-US"/>
        </w:rPr>
        <w:t>.</w:t>
      </w:r>
      <w:r w:rsidR="008C3453">
        <w:rPr>
          <w:lang w:val="en-US"/>
        </w:rPr>
        <w:t xml:space="preserve"> </w:t>
      </w:r>
    </w:p>
    <w:p w14:paraId="5FD7773B" w14:textId="39995C31" w:rsidR="00584C69" w:rsidRDefault="00584C69" w:rsidP="00584C69">
      <w:pPr>
        <w:overflowPunct/>
        <w:autoSpaceDE/>
        <w:autoSpaceDN/>
        <w:adjustRightInd/>
        <w:textAlignment w:val="auto"/>
        <w:rPr>
          <w:rFonts w:eastAsia="MS Mincho"/>
          <w:i/>
          <w:iCs/>
          <w:lang w:val="en-US" w:eastAsia="ja-JP"/>
        </w:rPr>
      </w:pPr>
      <w:r w:rsidRPr="003252A4">
        <w:rPr>
          <w:rFonts w:eastAsia="MS Mincho"/>
          <w:b/>
          <w:bCs/>
          <w:i/>
          <w:iCs/>
          <w:lang w:val="en-US" w:eastAsia="ja-JP"/>
        </w:rPr>
        <w:t>Proposal #</w:t>
      </w:r>
      <w:r w:rsidR="00BB35C4">
        <w:rPr>
          <w:rFonts w:eastAsia="MS Mincho"/>
          <w:b/>
          <w:bCs/>
          <w:i/>
          <w:iCs/>
          <w:lang w:val="en-US" w:eastAsia="ja-JP"/>
        </w:rPr>
        <w:t>2</w:t>
      </w:r>
      <w:r w:rsidRPr="003252A4">
        <w:rPr>
          <w:rFonts w:eastAsia="MS Mincho"/>
          <w:b/>
          <w:bCs/>
          <w:i/>
          <w:iCs/>
          <w:lang w:val="en-US" w:eastAsia="ja-JP"/>
        </w:rPr>
        <w:t xml:space="preserve">: </w:t>
      </w:r>
      <w:r>
        <w:rPr>
          <w:rFonts w:eastAsia="MS Mincho"/>
          <w:i/>
          <w:iCs/>
          <w:lang w:val="en-US" w:eastAsia="ja-JP"/>
        </w:rPr>
        <w:t xml:space="preserve">In case of slot based operation, up-to 3 bits in DCI indicate </w:t>
      </w:r>
      <w:r w:rsidR="008713B5" w:rsidRPr="00754993">
        <w:rPr>
          <w:rFonts w:eastAsia="MS Mincho"/>
          <w:i/>
          <w:iCs/>
          <w:u w:val="single"/>
          <w:lang w:val="en-US" w:eastAsia="ja-JP"/>
        </w:rPr>
        <w:t>only</w:t>
      </w:r>
      <w:r w:rsidR="008713B5">
        <w:rPr>
          <w:rFonts w:eastAsia="MS Mincho"/>
          <w:i/>
          <w:iCs/>
          <w:lang w:val="en-US" w:eastAsia="ja-JP"/>
        </w:rPr>
        <w:t xml:space="preserve"> </w:t>
      </w:r>
      <w:r w:rsidR="008C3453">
        <w:rPr>
          <w:rFonts w:eastAsia="MS Mincho"/>
          <w:i/>
          <w:iCs/>
          <w:lang w:val="en-US" w:eastAsia="ja-JP"/>
        </w:rPr>
        <w:t>K1 (slots), i.e. delay</w:t>
      </w:r>
      <w:r w:rsidR="008C3453" w:rsidRPr="008C3453">
        <w:rPr>
          <w:rFonts w:eastAsia="MS Mincho"/>
          <w:i/>
          <w:iCs/>
          <w:lang w:val="en-US" w:eastAsia="ja-JP"/>
        </w:rPr>
        <w:t xml:space="preserve"> between DL data (PDSCH) reception and corresponding acknow</w:t>
      </w:r>
      <w:r w:rsidR="008C3453">
        <w:rPr>
          <w:rFonts w:eastAsia="MS Mincho"/>
          <w:i/>
          <w:iCs/>
          <w:lang w:val="en-US" w:eastAsia="ja-JP"/>
        </w:rPr>
        <w:t>ledgement transmission in UL.</w:t>
      </w:r>
    </w:p>
    <w:p w14:paraId="7F9191E2" w14:textId="063BF815" w:rsidR="008C3453" w:rsidRDefault="008C3453" w:rsidP="008C3453">
      <w:pPr>
        <w:overflowPunct/>
        <w:autoSpaceDE/>
        <w:autoSpaceDN/>
        <w:adjustRightInd/>
        <w:textAlignment w:val="auto"/>
        <w:rPr>
          <w:rFonts w:eastAsia="MS Mincho"/>
          <w:i/>
          <w:iCs/>
          <w:lang w:val="en-US" w:eastAsia="ja-JP"/>
        </w:rPr>
      </w:pPr>
      <w:r w:rsidRPr="003252A4">
        <w:rPr>
          <w:rFonts w:eastAsia="MS Mincho"/>
          <w:b/>
          <w:bCs/>
          <w:i/>
          <w:iCs/>
          <w:lang w:val="en-US" w:eastAsia="ja-JP"/>
        </w:rPr>
        <w:t>Proposal #</w:t>
      </w:r>
      <w:r w:rsidR="00BB35C4">
        <w:rPr>
          <w:rFonts w:eastAsia="MS Mincho"/>
          <w:b/>
          <w:bCs/>
          <w:i/>
          <w:iCs/>
          <w:lang w:val="en-US" w:eastAsia="ja-JP"/>
        </w:rPr>
        <w:t>3</w:t>
      </w:r>
      <w:r w:rsidRPr="003252A4">
        <w:rPr>
          <w:rFonts w:eastAsia="MS Mincho"/>
          <w:b/>
          <w:bCs/>
          <w:i/>
          <w:iCs/>
          <w:lang w:val="en-US" w:eastAsia="ja-JP"/>
        </w:rPr>
        <w:t xml:space="preserve">: </w:t>
      </w:r>
      <w:r>
        <w:rPr>
          <w:rFonts w:eastAsia="MS Mincho"/>
          <w:i/>
          <w:iCs/>
          <w:lang w:val="en-US" w:eastAsia="ja-JP"/>
        </w:rPr>
        <w:t xml:space="preserve">In case of non-slot based operation, up-to 3 bits in DCI indicate </w:t>
      </w:r>
      <w:r w:rsidRPr="008C3453">
        <w:rPr>
          <w:rFonts w:eastAsia="MS Mincho"/>
          <w:i/>
          <w:iCs/>
          <w:lang w:val="en-US" w:eastAsia="ja-JP"/>
        </w:rPr>
        <w:t>the symbol(s) for the HARQ-ACK transmission</w:t>
      </w:r>
      <w:r>
        <w:rPr>
          <w:rFonts w:eastAsia="MS Mincho"/>
          <w:i/>
          <w:iCs/>
          <w:lang w:val="en-US" w:eastAsia="ja-JP"/>
        </w:rPr>
        <w:t>.</w:t>
      </w:r>
    </w:p>
    <w:p w14:paraId="3DE9DFF3" w14:textId="77777777" w:rsidR="004D29CA" w:rsidRPr="003019FF" w:rsidRDefault="004D29CA" w:rsidP="00B67613">
      <w:pPr>
        <w:spacing w:after="0"/>
        <w:jc w:val="both"/>
        <w:rPr>
          <w:rFonts w:eastAsia="MS Mincho"/>
          <w:sz w:val="18"/>
          <w:szCs w:val="18"/>
          <w:lang w:val="en-US" w:eastAsia="ja-JP"/>
        </w:rPr>
      </w:pPr>
      <w:r w:rsidRPr="003019FF">
        <w:rPr>
          <w:lang w:val="en-US"/>
        </w:rPr>
        <w:t xml:space="preserve">An open issue related to dynamic timing indication of the HARQ-ACK timing involving higher layer configuration is the operation in the cases when RRC connection has not yet been established. Timing must be defined according to a conservative approach since the gNB is not yet aware of the processing capability of the UE. </w:t>
      </w:r>
      <w:r>
        <w:rPr>
          <w:rFonts w:eastAsia="MS Mincho"/>
          <w:lang w:val="en-US" w:eastAsia="ja-JP"/>
        </w:rPr>
        <w:t xml:space="preserve">For timing relationships </w:t>
      </w:r>
      <w:r w:rsidRPr="003252A4">
        <w:rPr>
          <w:rFonts w:eastAsia="MS Mincho"/>
          <w:b/>
          <w:bCs/>
          <w:i/>
          <w:iCs/>
          <w:lang w:val="en-US" w:eastAsia="ja-JP"/>
        </w:rPr>
        <w:t>K1</w:t>
      </w:r>
      <w:r>
        <w:rPr>
          <w:rFonts w:eastAsia="MS Mincho"/>
          <w:lang w:val="en-US" w:eastAsia="ja-JP"/>
        </w:rPr>
        <w:t>, there are three options:</w:t>
      </w:r>
    </w:p>
    <w:p w14:paraId="5041337C" w14:textId="347E59A6" w:rsidR="004D29CA" w:rsidRPr="003019FF" w:rsidRDefault="004D29CA">
      <w:pPr>
        <w:pStyle w:val="ListParagraph"/>
        <w:numPr>
          <w:ilvl w:val="0"/>
          <w:numId w:val="27"/>
        </w:numPr>
        <w:rPr>
          <w:sz w:val="20"/>
          <w:szCs w:val="20"/>
          <w:lang w:val="en-US"/>
        </w:rPr>
      </w:pPr>
      <w:r w:rsidRPr="003019FF">
        <w:rPr>
          <w:sz w:val="20"/>
          <w:szCs w:val="20"/>
          <w:u w:val="single"/>
          <w:lang w:val="en-US"/>
        </w:rPr>
        <w:t>Option #1:</w:t>
      </w:r>
      <w:r w:rsidRPr="003019FF">
        <w:rPr>
          <w:sz w:val="20"/>
          <w:szCs w:val="20"/>
          <w:lang w:val="en-US"/>
        </w:rPr>
        <w:t xml:space="preserve"> A single value for K1 is defined according to a conservative UE processing time. For example, it can be defined that K1=3 or 4 (slots)    </w:t>
      </w:r>
    </w:p>
    <w:p w14:paraId="7060FD73" w14:textId="77DE6984" w:rsidR="004D29CA" w:rsidRPr="003019FF" w:rsidRDefault="004D29CA">
      <w:pPr>
        <w:pStyle w:val="ListParagraph"/>
        <w:numPr>
          <w:ilvl w:val="0"/>
          <w:numId w:val="27"/>
        </w:numPr>
        <w:rPr>
          <w:sz w:val="20"/>
          <w:szCs w:val="20"/>
          <w:lang w:val="en-US"/>
        </w:rPr>
      </w:pPr>
      <w:r w:rsidRPr="003019FF">
        <w:rPr>
          <w:sz w:val="20"/>
          <w:szCs w:val="20"/>
          <w:u w:val="single"/>
          <w:lang w:val="en-US"/>
        </w:rPr>
        <w:t>Option #2:</w:t>
      </w:r>
      <w:r w:rsidRPr="003019FF">
        <w:rPr>
          <w:sz w:val="20"/>
          <w:szCs w:val="20"/>
          <w:lang w:val="en-US"/>
        </w:rPr>
        <w:t xml:space="preserve"> A set of values for K1 is defined according to a conservative UE processing time. For example, it can be defined that K1= [3, 4, </w:t>
      </w:r>
      <w:r w:rsidR="52DC574C" w:rsidRPr="003019FF">
        <w:rPr>
          <w:sz w:val="20"/>
          <w:szCs w:val="20"/>
          <w:lang w:val="en-US"/>
        </w:rPr>
        <w:t>5</w:t>
      </w:r>
      <w:r w:rsidRPr="003019FF">
        <w:rPr>
          <w:sz w:val="20"/>
          <w:szCs w:val="20"/>
          <w:lang w:val="en-US"/>
        </w:rPr>
        <w:t xml:space="preserve">, </w:t>
      </w:r>
      <w:r w:rsidR="52DC574C" w:rsidRPr="003019FF">
        <w:rPr>
          <w:sz w:val="20"/>
          <w:szCs w:val="20"/>
          <w:lang w:val="en-US"/>
        </w:rPr>
        <w:t>6</w:t>
      </w:r>
      <w:r w:rsidRPr="003019FF">
        <w:rPr>
          <w:sz w:val="20"/>
          <w:szCs w:val="20"/>
          <w:lang w:val="en-US"/>
        </w:rPr>
        <w:t>] (slots)</w:t>
      </w:r>
    </w:p>
    <w:p w14:paraId="53E82A13" w14:textId="2A82DA6D" w:rsidR="004D29CA" w:rsidRPr="003019FF" w:rsidRDefault="004D29CA" w:rsidP="00B67613">
      <w:pPr>
        <w:pStyle w:val="ListParagraph"/>
        <w:numPr>
          <w:ilvl w:val="0"/>
          <w:numId w:val="27"/>
        </w:numPr>
        <w:spacing w:after="120"/>
        <w:ind w:left="714" w:hanging="357"/>
        <w:rPr>
          <w:sz w:val="20"/>
          <w:szCs w:val="20"/>
          <w:lang w:val="en-US"/>
        </w:rPr>
      </w:pPr>
      <w:r w:rsidRPr="003019FF">
        <w:rPr>
          <w:sz w:val="20"/>
          <w:szCs w:val="20"/>
          <w:u w:val="single"/>
          <w:lang w:val="en-US"/>
        </w:rPr>
        <w:t>Option #3:</w:t>
      </w:r>
      <w:r w:rsidRPr="003019FF">
        <w:rPr>
          <w:sz w:val="20"/>
          <w:szCs w:val="20"/>
          <w:lang w:val="en-US"/>
        </w:rPr>
        <w:t xml:space="preserve"> A single value or a set of values for K1 is configured by </w:t>
      </w:r>
      <w:r w:rsidR="11FB1E7F" w:rsidRPr="003019FF">
        <w:rPr>
          <w:sz w:val="20"/>
          <w:szCs w:val="20"/>
          <w:lang w:val="en-US"/>
        </w:rPr>
        <w:t>RMS</w:t>
      </w:r>
      <w:r w:rsidR="4CC09A50" w:rsidRPr="003019FF">
        <w:rPr>
          <w:sz w:val="20"/>
          <w:szCs w:val="20"/>
          <w:lang w:val="en-US"/>
        </w:rPr>
        <w:t>I</w:t>
      </w:r>
      <w:r w:rsidR="5D3612B8" w:rsidRPr="003019FF">
        <w:rPr>
          <w:sz w:val="20"/>
          <w:szCs w:val="20"/>
          <w:lang w:val="en-US"/>
        </w:rPr>
        <w:t>.</w:t>
      </w:r>
      <w:r w:rsidRPr="003019FF">
        <w:rPr>
          <w:sz w:val="20"/>
          <w:szCs w:val="20"/>
          <w:lang w:val="en-US"/>
        </w:rPr>
        <w:t xml:space="preserve"> </w:t>
      </w:r>
    </w:p>
    <w:p w14:paraId="6406C42E" w14:textId="14C28581" w:rsidR="004D29CA" w:rsidRPr="003019FF" w:rsidRDefault="004D29CA" w:rsidP="003019FF">
      <w:pPr>
        <w:jc w:val="both"/>
        <w:rPr>
          <w:lang w:val="en-US"/>
        </w:rPr>
      </w:pPr>
      <w:r w:rsidRPr="003019FF">
        <w:rPr>
          <w:lang w:val="en-US"/>
        </w:rPr>
        <w:t xml:space="preserve">The benefit of Option #1 is that it does not require additional signalling bits in DL grant. On the other hand, Option #2 would facilitate TDD operation in a flexible manner minimizing the gNB scheduler restrictions also for UEs without RRC connection. Option #3 provides configurability for K1 at the expense of </w:t>
      </w:r>
      <w:r w:rsidR="007C01CB">
        <w:rPr>
          <w:lang w:val="en-US"/>
        </w:rPr>
        <w:t xml:space="preserve">slightly </w:t>
      </w:r>
      <w:r w:rsidRPr="003019FF">
        <w:rPr>
          <w:lang w:val="en-US"/>
        </w:rPr>
        <w:t xml:space="preserve">increased signalling overhead. We think that sufficient degree of flexibility </w:t>
      </w:r>
      <w:r w:rsidR="00DB4A90">
        <w:rPr>
          <w:lang w:val="en-US"/>
        </w:rPr>
        <w:t>can</w:t>
      </w:r>
      <w:r w:rsidR="00DB4A90" w:rsidRPr="003019FF">
        <w:rPr>
          <w:lang w:val="en-US"/>
        </w:rPr>
        <w:t xml:space="preserve"> </w:t>
      </w:r>
      <w:r w:rsidRPr="003019FF">
        <w:rPr>
          <w:lang w:val="en-US"/>
        </w:rPr>
        <w:t xml:space="preserve">achieved </w:t>
      </w:r>
      <w:r w:rsidR="00DB4A90">
        <w:rPr>
          <w:lang w:val="en-US"/>
        </w:rPr>
        <w:t xml:space="preserve">by having at least one predefined value for </w:t>
      </w:r>
      <w:r w:rsidR="00DB4A90" w:rsidRPr="00754993">
        <w:rPr>
          <w:i/>
          <w:lang w:val="en-US"/>
        </w:rPr>
        <w:t>K1</w:t>
      </w:r>
      <w:r w:rsidRPr="003019FF">
        <w:rPr>
          <w:lang w:val="en-US"/>
        </w:rPr>
        <w:t>.</w:t>
      </w:r>
      <w:r w:rsidR="00DB4A90">
        <w:rPr>
          <w:lang w:val="en-US"/>
        </w:rPr>
        <w:t xml:space="preserve"> The remaining values can be configured as part of RMSI.</w:t>
      </w:r>
      <w:r w:rsidRPr="003019FF">
        <w:rPr>
          <w:lang w:val="en-US"/>
        </w:rPr>
        <w:t xml:space="preserve"> Based on that we make the following proposal:</w:t>
      </w:r>
    </w:p>
    <w:p w14:paraId="65F7D1A0" w14:textId="47DE7952" w:rsidR="004D29CA" w:rsidRDefault="004D29CA" w:rsidP="00D10F3E">
      <w:pPr>
        <w:overflowPunct/>
        <w:autoSpaceDE/>
        <w:autoSpaceDN/>
        <w:adjustRightInd/>
        <w:spacing w:after="120"/>
        <w:textAlignment w:val="auto"/>
        <w:rPr>
          <w:rFonts w:eastAsia="MS Mincho"/>
          <w:lang w:val="en-US" w:eastAsia="ja-JP"/>
        </w:rPr>
      </w:pPr>
      <w:r w:rsidRPr="003252A4">
        <w:rPr>
          <w:rFonts w:eastAsia="MS Mincho"/>
          <w:b/>
          <w:bCs/>
          <w:i/>
          <w:iCs/>
          <w:lang w:val="en-US" w:eastAsia="ja-JP"/>
        </w:rPr>
        <w:t>Proposal #</w:t>
      </w:r>
      <w:r w:rsidR="00BB35C4">
        <w:rPr>
          <w:rFonts w:eastAsia="MS Mincho"/>
          <w:b/>
          <w:bCs/>
          <w:i/>
          <w:iCs/>
          <w:lang w:val="en-US" w:eastAsia="ja-JP"/>
        </w:rPr>
        <w:t>4</w:t>
      </w:r>
      <w:r w:rsidRPr="003252A4">
        <w:rPr>
          <w:rFonts w:eastAsia="MS Mincho"/>
          <w:b/>
          <w:bCs/>
          <w:i/>
          <w:iCs/>
          <w:lang w:val="en-US" w:eastAsia="ja-JP"/>
        </w:rPr>
        <w:t xml:space="preserve">: </w:t>
      </w:r>
      <w:r w:rsidR="00770529">
        <w:rPr>
          <w:rFonts w:eastAsia="MS Mincho"/>
          <w:i/>
          <w:iCs/>
          <w:lang w:val="en-US" w:eastAsia="ja-JP"/>
        </w:rPr>
        <w:t xml:space="preserve">At least one value </w:t>
      </w:r>
      <w:r w:rsidR="00797713">
        <w:rPr>
          <w:rFonts w:eastAsia="MS Mincho"/>
          <w:i/>
          <w:iCs/>
          <w:lang w:val="en-US" w:eastAsia="ja-JP"/>
        </w:rPr>
        <w:t xml:space="preserve">from </w:t>
      </w:r>
      <w:r w:rsidR="00DB4A90">
        <w:rPr>
          <w:rFonts w:eastAsia="MS Mincho"/>
          <w:i/>
          <w:iCs/>
          <w:lang w:val="en-US" w:eastAsia="ja-JP"/>
        </w:rPr>
        <w:t xml:space="preserve">the </w:t>
      </w:r>
      <w:r w:rsidR="00797713">
        <w:rPr>
          <w:rFonts w:eastAsia="MS Mincho"/>
          <w:i/>
          <w:iCs/>
          <w:lang w:val="en-US" w:eastAsia="ja-JP"/>
        </w:rPr>
        <w:t xml:space="preserve">set of values </w:t>
      </w:r>
      <w:r w:rsidR="00EB678D">
        <w:rPr>
          <w:rFonts w:eastAsia="MS Mincho"/>
          <w:i/>
          <w:iCs/>
          <w:lang w:val="en-US" w:eastAsia="ja-JP"/>
        </w:rPr>
        <w:t>for</w:t>
      </w:r>
      <w:r w:rsidRPr="003252A4">
        <w:rPr>
          <w:rFonts w:eastAsia="MS Mincho"/>
          <w:i/>
          <w:iCs/>
          <w:lang w:val="en-US" w:eastAsia="ja-JP"/>
        </w:rPr>
        <w:t xml:space="preserve"> K1 </w:t>
      </w:r>
      <w:r w:rsidR="00EB678D">
        <w:rPr>
          <w:rFonts w:eastAsia="MS Mincho"/>
          <w:i/>
          <w:iCs/>
          <w:lang w:val="en-US" w:eastAsia="ja-JP"/>
        </w:rPr>
        <w:t>is predefined</w:t>
      </w:r>
      <w:r w:rsidRPr="003252A4">
        <w:rPr>
          <w:rFonts w:eastAsia="MS Mincho"/>
          <w:i/>
          <w:iCs/>
          <w:lang w:val="en-US" w:eastAsia="ja-JP"/>
        </w:rPr>
        <w:t>.</w:t>
      </w:r>
    </w:p>
    <w:p w14:paraId="3799EF30" w14:textId="7AEB1AD8" w:rsidR="004E4075" w:rsidRPr="00F3636B" w:rsidRDefault="5C120A52" w:rsidP="003019FF">
      <w:pPr>
        <w:pStyle w:val="Heading1"/>
        <w:rPr>
          <w:lang w:val="en-US"/>
        </w:rPr>
      </w:pPr>
      <w:r w:rsidRPr="5C120A52">
        <w:t>3</w:t>
      </w:r>
      <w:r w:rsidR="36775D76" w:rsidRPr="003252A4">
        <w:t xml:space="preserve">  HARQ feedback </w:t>
      </w:r>
      <w:r w:rsidRPr="003252A4">
        <w:t>determination</w:t>
      </w:r>
    </w:p>
    <w:p w14:paraId="7E78B53A" w14:textId="1327BA1E" w:rsidR="004E4075" w:rsidRDefault="5C120A52" w:rsidP="003019FF">
      <w:pPr>
        <w:spacing w:after="120" w:line="256" w:lineRule="auto"/>
        <w:jc w:val="both"/>
        <w:rPr>
          <w:rFonts w:eastAsia="Malgun Gothic"/>
        </w:rPr>
      </w:pPr>
      <w:r w:rsidRPr="003019FF">
        <w:rPr>
          <w:rFonts w:eastAsia="Malgun Gothic"/>
        </w:rPr>
        <w:t>In this section, we discuss the HARQ feedback determination in NR</w:t>
      </w:r>
      <w:r w:rsidR="00CA1F91">
        <w:rPr>
          <w:rFonts w:eastAsia="Malgun Gothic"/>
        </w:rPr>
        <w:t xml:space="preserve"> from single cell viewpoint</w:t>
      </w:r>
      <w:r w:rsidR="00C779D8">
        <w:rPr>
          <w:rFonts w:eastAsia="Malgun Gothic"/>
        </w:rPr>
        <w:t xml:space="preserve"> in Section 3.1</w:t>
      </w:r>
      <w:r w:rsidRPr="003019FF">
        <w:rPr>
          <w:rFonts w:eastAsia="Malgun Gothic"/>
        </w:rPr>
        <w:t>.</w:t>
      </w:r>
      <w:r w:rsidR="00CA1F91">
        <w:rPr>
          <w:rFonts w:eastAsia="Malgun Gothic"/>
        </w:rPr>
        <w:t xml:space="preserve"> We consider HARQ feedback determination in case of carrier aggregation and CBG-based PDSCH transmissions in </w:t>
      </w:r>
      <w:r w:rsidR="00C779D8">
        <w:rPr>
          <w:rFonts w:eastAsia="Malgun Gothic"/>
        </w:rPr>
        <w:t>in Sections 3.2 and 3.3, respectively. Finally we address HARQ-ACK bundling in Section 3.4.</w:t>
      </w:r>
      <w:r w:rsidRPr="003019FF">
        <w:rPr>
          <w:rFonts w:eastAsia="Malgun Gothic"/>
        </w:rPr>
        <w:t xml:space="preserve"> </w:t>
      </w:r>
    </w:p>
    <w:p w14:paraId="46BAFF10" w14:textId="02EA3018" w:rsidR="004E4075" w:rsidRPr="003019FF" w:rsidRDefault="004E4075" w:rsidP="003019FF">
      <w:pPr>
        <w:pStyle w:val="Heading2"/>
      </w:pPr>
      <w:r>
        <w:t xml:space="preserve">3.1 </w:t>
      </w:r>
      <w:r w:rsidR="001B5941">
        <w:t xml:space="preserve">HARQ feedback determination for single </w:t>
      </w:r>
      <w:r w:rsidR="001B5941" w:rsidRPr="009138D2">
        <w:t xml:space="preserve">cell </w:t>
      </w:r>
      <w:r w:rsidR="00735F5D">
        <w:t xml:space="preserve"> </w:t>
      </w:r>
    </w:p>
    <w:p w14:paraId="0B0FE89D" w14:textId="77777777" w:rsidR="00313B7A" w:rsidRDefault="00CC6A4F" w:rsidP="003019FF">
      <w:pPr>
        <w:spacing w:after="120" w:line="256" w:lineRule="auto"/>
        <w:jc w:val="both"/>
      </w:pPr>
      <w:r w:rsidRPr="003252A4">
        <w:rPr>
          <w:lang w:val="en-US"/>
        </w:rPr>
        <w:t xml:space="preserve">Flexible HARQ-ACK timing facilities e.g. highly flexible UL/DL configuration but impacts also the </w:t>
      </w:r>
      <w:r w:rsidRPr="003252A4">
        <w:t>determination of HARQ feedback transmitted on UL</w:t>
      </w:r>
      <w:r w:rsidR="00313B7A">
        <w:t>, requiring more flexible HARQ feedback determination. Hence, following agreements were reached in RAN1#90bis:</w:t>
      </w:r>
    </w:p>
    <w:p w14:paraId="43FEE09D" w14:textId="0B13F5E3" w:rsidR="00313B7A" w:rsidRPr="00313B7A" w:rsidRDefault="00313B7A" w:rsidP="00313B7A">
      <w:pPr>
        <w:spacing w:after="60"/>
        <w:rPr>
          <w:i/>
          <w:sz w:val="18"/>
          <w:lang w:val="en-US"/>
        </w:rPr>
      </w:pPr>
      <w:r w:rsidRPr="00313B7A">
        <w:rPr>
          <w:i/>
          <w:sz w:val="18"/>
          <w:highlight w:val="green"/>
          <w:lang w:val="en-US"/>
        </w:rPr>
        <w:t>Agreements</w:t>
      </w:r>
      <w:r w:rsidRPr="00313B7A">
        <w:rPr>
          <w:i/>
          <w:sz w:val="18"/>
          <w:lang w:val="en-US"/>
        </w:rPr>
        <w:t xml:space="preserve">: </w:t>
      </w:r>
      <w:r w:rsidRPr="00313B7A">
        <w:rPr>
          <w:i/>
          <w:sz w:val="18"/>
        </w:rPr>
        <w:t>For NR non-CA, both semi-static and dynamic HARQ-ACK codebook are supported by configuration</w:t>
      </w:r>
    </w:p>
    <w:p w14:paraId="0C0F03F5" w14:textId="766E1262" w:rsidR="00313B7A" w:rsidRPr="00313B7A" w:rsidRDefault="00313B7A" w:rsidP="00313B7A">
      <w:pPr>
        <w:numPr>
          <w:ilvl w:val="1"/>
          <w:numId w:val="56"/>
        </w:numPr>
        <w:overflowPunct/>
        <w:autoSpaceDE/>
        <w:autoSpaceDN/>
        <w:adjustRightInd/>
        <w:spacing w:after="60"/>
        <w:textAlignment w:val="auto"/>
        <w:rPr>
          <w:i/>
          <w:sz w:val="18"/>
        </w:rPr>
      </w:pPr>
      <w:r w:rsidRPr="00313B7A">
        <w:rPr>
          <w:i/>
          <w:sz w:val="18"/>
        </w:rPr>
        <w:t>Note: the “by-configuration” is also applicable to the CA case</w:t>
      </w:r>
    </w:p>
    <w:p w14:paraId="1A50CE8F" w14:textId="5E7A3D02" w:rsidR="00313B7A" w:rsidRPr="00313B7A" w:rsidRDefault="00313B7A" w:rsidP="00313B7A">
      <w:pPr>
        <w:spacing w:after="60"/>
        <w:rPr>
          <w:i/>
          <w:sz w:val="18"/>
        </w:rPr>
      </w:pPr>
      <w:r w:rsidRPr="00313B7A">
        <w:rPr>
          <w:i/>
          <w:sz w:val="18"/>
          <w:highlight w:val="green"/>
        </w:rPr>
        <w:t>Agreements</w:t>
      </w:r>
      <w:r w:rsidRPr="00313B7A">
        <w:rPr>
          <w:i/>
          <w:sz w:val="18"/>
        </w:rPr>
        <w:t>: Dynamic HARQ-ACK codebook (per PUCCH group) for the case without CBG configuration</w:t>
      </w:r>
    </w:p>
    <w:p w14:paraId="291101FE" w14:textId="77777777" w:rsidR="00313B7A" w:rsidRPr="00313B7A" w:rsidRDefault="00313B7A" w:rsidP="00313B7A">
      <w:pPr>
        <w:numPr>
          <w:ilvl w:val="1"/>
          <w:numId w:val="55"/>
        </w:numPr>
        <w:overflowPunct/>
        <w:autoSpaceDE/>
        <w:autoSpaceDN/>
        <w:adjustRightInd/>
        <w:spacing w:after="60" w:line="259" w:lineRule="auto"/>
        <w:textAlignment w:val="auto"/>
        <w:rPr>
          <w:i/>
          <w:sz w:val="18"/>
        </w:rPr>
      </w:pPr>
      <w:r w:rsidRPr="00313B7A">
        <w:rPr>
          <w:i/>
          <w:sz w:val="18"/>
        </w:rPr>
        <w:t>HARQ-ACK codebook determination based on counter DAI and total DAI</w:t>
      </w:r>
    </w:p>
    <w:p w14:paraId="0C86300A" w14:textId="77777777" w:rsidR="00313B7A" w:rsidRPr="00313B7A" w:rsidRDefault="00313B7A" w:rsidP="00313B7A">
      <w:pPr>
        <w:numPr>
          <w:ilvl w:val="2"/>
          <w:numId w:val="55"/>
        </w:numPr>
        <w:overflowPunct/>
        <w:autoSpaceDE/>
        <w:autoSpaceDN/>
        <w:adjustRightInd/>
        <w:spacing w:after="60" w:line="259" w:lineRule="auto"/>
        <w:textAlignment w:val="auto"/>
        <w:rPr>
          <w:i/>
          <w:sz w:val="18"/>
        </w:rPr>
      </w:pPr>
      <w:r w:rsidRPr="00313B7A">
        <w:rPr>
          <w:i/>
          <w:sz w:val="18"/>
        </w:rPr>
        <w:t>Use LTE as starting point</w:t>
      </w:r>
    </w:p>
    <w:p w14:paraId="12ED9D0B" w14:textId="77777777" w:rsidR="00313B7A" w:rsidRPr="00313B7A" w:rsidRDefault="00313B7A" w:rsidP="00A325D1">
      <w:pPr>
        <w:numPr>
          <w:ilvl w:val="2"/>
          <w:numId w:val="55"/>
        </w:numPr>
        <w:overflowPunct/>
        <w:autoSpaceDE/>
        <w:autoSpaceDN/>
        <w:adjustRightInd/>
        <w:spacing w:after="120" w:line="259" w:lineRule="auto"/>
        <w:ind w:left="2154" w:hanging="357"/>
        <w:textAlignment w:val="auto"/>
        <w:rPr>
          <w:sz w:val="18"/>
        </w:rPr>
      </w:pPr>
      <w:r w:rsidRPr="00313B7A">
        <w:rPr>
          <w:i/>
          <w:sz w:val="18"/>
        </w:rPr>
        <w:t>FFS details</w:t>
      </w:r>
    </w:p>
    <w:p w14:paraId="102AB212" w14:textId="07DBE9A4" w:rsidR="004142CD" w:rsidRPr="0064373B" w:rsidRDefault="0039030F" w:rsidP="0064373B">
      <w:pPr>
        <w:spacing w:after="120" w:line="256" w:lineRule="auto"/>
        <w:jc w:val="both"/>
        <w:rPr>
          <w:rFonts w:eastAsiaTheme="minorEastAsia"/>
          <w:sz w:val="22"/>
          <w:szCs w:val="22"/>
          <w:lang w:val="en-US"/>
        </w:rPr>
      </w:pPr>
      <w:r>
        <w:t>We first consider</w:t>
      </w:r>
      <w:r w:rsidR="0087104B">
        <w:t xml:space="preserve"> DL association set </w:t>
      </w:r>
      <w:r w:rsidR="00C94A3C">
        <w:t xml:space="preserve">determination </w:t>
      </w:r>
      <w:r w:rsidR="0087104B">
        <w:t>for HARQ feedback.</w:t>
      </w:r>
      <w:r w:rsidR="0064373B">
        <w:t xml:space="preserve"> </w:t>
      </w:r>
      <w:r w:rsidR="004142CD">
        <w:rPr>
          <w:rFonts w:eastAsia="MS Mincho"/>
          <w:lang w:val="en-US" w:eastAsia="ja-JP"/>
        </w:rPr>
        <w:t>In NR, highly flexible UL/DL configuration efficiently adapting air interface to the variations on traffic is desired. Correspondingly, determination of HARQ feedback, including determination of HARQ-ACK codebook size as well as DL association set (i.e. set of DL slot for which HARQ-ACK is reported in a certain UL slot</w:t>
      </w:r>
      <w:r w:rsidR="0064373B">
        <w:rPr>
          <w:rFonts w:eastAsia="MS Mincho"/>
          <w:lang w:val="en-US" w:eastAsia="ja-JP"/>
        </w:rPr>
        <w:t>) should be flexible</w:t>
      </w:r>
      <w:r w:rsidR="004142CD">
        <w:rPr>
          <w:rFonts w:eastAsia="MS Mincho"/>
          <w:lang w:val="en-US" w:eastAsia="ja-JP"/>
        </w:rPr>
        <w:t xml:space="preserve">. </w:t>
      </w:r>
    </w:p>
    <w:p w14:paraId="50FE133C" w14:textId="77777777" w:rsidR="004142CD" w:rsidRDefault="004142CD" w:rsidP="00B67613">
      <w:pPr>
        <w:pStyle w:val="BodyText"/>
        <w:jc w:val="both"/>
        <w:rPr>
          <w:rFonts w:eastAsia="MS Mincho"/>
          <w:lang w:val="en-US" w:eastAsia="ja-JP"/>
        </w:rPr>
      </w:pPr>
      <w:r>
        <w:rPr>
          <w:rFonts w:eastAsia="MS Mincho"/>
          <w:lang w:val="en-US" w:eastAsia="ja-JP"/>
        </w:rPr>
        <w:t>One possible way is to determine HARQ-ACK codebook based on the number of configured HARQ processes and the number of configured or activated component carriers. This means that HARQ-ACK is transmitted for each TB (or CBG if CBG-based transmission is configured) on every HARQ process on every configured or activated component carrier every time UE reports any HARQ-ACK. As a UE may be configured with a considerable number of CBGs as well as component carriers, the resulting HARQ-ACK codebook can be large and significantly over-dimensioned for most of HARQ feedback transmissions.</w:t>
      </w:r>
    </w:p>
    <w:p w14:paraId="3E34D590" w14:textId="6030F431" w:rsidR="004142CD" w:rsidRPr="00C862EF" w:rsidRDefault="004142CD" w:rsidP="00041FB3">
      <w:pPr>
        <w:spacing w:after="120"/>
        <w:jc w:val="both"/>
        <w:rPr>
          <w:rFonts w:eastAsiaTheme="minorEastAsia"/>
          <w:lang w:val="en-US" w:eastAsia="zh-CN"/>
        </w:rPr>
      </w:pPr>
      <w:r>
        <w:rPr>
          <w:rFonts w:eastAsia="MS Mincho"/>
          <w:lang w:val="en-US" w:eastAsia="ja-JP"/>
        </w:rPr>
        <w:t>On other hand, th</w:t>
      </w:r>
      <w:r w:rsidR="0064373B">
        <w:rPr>
          <w:rFonts w:eastAsia="MS Mincho"/>
          <w:lang w:val="en-US" w:eastAsia="ja-JP"/>
        </w:rPr>
        <w:t>e determination of DL association set</w:t>
      </w:r>
      <w:r>
        <w:rPr>
          <w:rFonts w:eastAsia="MS Mincho"/>
          <w:lang w:val="en-US" w:eastAsia="ja-JP"/>
        </w:rPr>
        <w:t xml:space="preserve"> can be based on a simple set of rules using few parameters such as the indicated</w:t>
      </w:r>
      <w:r w:rsidR="0064373B">
        <w:rPr>
          <w:rFonts w:eastAsia="MS Mincho"/>
          <w:lang w:val="en-US" w:eastAsia="ja-JP"/>
        </w:rPr>
        <w:t xml:space="preserve"> or configured</w:t>
      </w:r>
      <w:r>
        <w:rPr>
          <w:rFonts w:eastAsia="MS Mincho"/>
          <w:lang w:val="en-US" w:eastAsia="ja-JP"/>
        </w:rPr>
        <w:t xml:space="preserve"> timing between DL data and associated HARQ-ACK</w:t>
      </w:r>
      <w:r w:rsidR="0064373B">
        <w:rPr>
          <w:rFonts w:eastAsia="MS Mincho"/>
          <w:lang w:val="en-US" w:eastAsia="ja-JP"/>
        </w:rPr>
        <w:t xml:space="preserve"> transmission</w:t>
      </w:r>
      <w:r>
        <w:rPr>
          <w:rFonts w:eastAsia="MS Mincho"/>
          <w:lang w:val="en-US" w:eastAsia="ja-JP"/>
        </w:rPr>
        <w:t xml:space="preserve"> as inputs</w:t>
      </w:r>
      <w:r w:rsidR="0064373B">
        <w:rPr>
          <w:rFonts w:eastAsia="MS Mincho"/>
          <w:lang w:val="en-US" w:eastAsia="ja-JP"/>
        </w:rPr>
        <w:t>.</w:t>
      </w:r>
      <w:r w:rsidR="00041FB3">
        <w:rPr>
          <w:rFonts w:eastAsia="MS Mincho"/>
          <w:lang w:val="en-US" w:eastAsia="ja-JP"/>
        </w:rPr>
        <w:t xml:space="preserve"> </w:t>
      </w:r>
      <w:r w:rsidR="008C4E61">
        <w:rPr>
          <w:rFonts w:eastAsia="MS Mincho"/>
          <w:lang w:val="en-US" w:eastAsia="ja-JP"/>
        </w:rPr>
        <w:t xml:space="preserve">In the case of </w:t>
      </w:r>
      <w:r w:rsidR="008C4E61">
        <w:rPr>
          <w:rFonts w:eastAsia="MS Mincho"/>
          <w:lang w:val="en-US" w:eastAsia="ja-JP"/>
        </w:rPr>
        <w:lastRenderedPageBreak/>
        <w:t>semi-static HARQ-ACK codebook, the DL association set can</w:t>
      </w:r>
      <w:r w:rsidR="008C4E61" w:rsidRPr="008C4E61">
        <w:rPr>
          <w:rFonts w:eastAsia="MS Mincho"/>
          <w:lang w:val="en-US" w:eastAsia="ja-JP"/>
        </w:rPr>
        <w:t xml:space="preserve"> be </w:t>
      </w:r>
      <w:r w:rsidR="00041FB3">
        <w:rPr>
          <w:rFonts w:eastAsia="MS Mincho"/>
          <w:lang w:val="en-US" w:eastAsia="ja-JP"/>
        </w:rPr>
        <w:t xml:space="preserve">simply </w:t>
      </w:r>
      <w:r w:rsidR="008C4E61" w:rsidRPr="008C4E61">
        <w:rPr>
          <w:rFonts w:eastAsia="MS Mincho"/>
          <w:lang w:val="en-US" w:eastAsia="ja-JP"/>
        </w:rPr>
        <w:t>d</w:t>
      </w:r>
      <w:r w:rsidR="008C4E61">
        <w:rPr>
          <w:rFonts w:eastAsia="MS Mincho"/>
          <w:lang w:val="en-US" w:eastAsia="ja-JP"/>
        </w:rPr>
        <w:t xml:space="preserve">etermined semi-statically </w:t>
      </w:r>
      <w:r w:rsidR="008C4E61" w:rsidRPr="008C4E61">
        <w:rPr>
          <w:rFonts w:eastAsia="MS Mincho"/>
          <w:lang w:val="en-US" w:eastAsia="ja-JP"/>
        </w:rPr>
        <w:t xml:space="preserve">based on the configured </w:t>
      </w:r>
      <w:r w:rsidR="00C862EF">
        <w:rPr>
          <w:rFonts w:eastAsia="MS Mincho"/>
          <w:lang w:val="en-US" w:eastAsia="ja-JP"/>
        </w:rPr>
        <w:t>maximum and minimum HARQ-</w:t>
      </w:r>
      <w:r w:rsidR="008C4E61" w:rsidRPr="008C4E61">
        <w:rPr>
          <w:rFonts w:eastAsia="MS Mincho"/>
          <w:lang w:val="en-US" w:eastAsia="ja-JP"/>
        </w:rPr>
        <w:t>ACK timing values.</w:t>
      </w:r>
    </w:p>
    <w:p w14:paraId="7564AF93" w14:textId="77777777" w:rsidR="0039030F" w:rsidRPr="0039030F" w:rsidRDefault="00041FB3" w:rsidP="0039030F">
      <w:pPr>
        <w:spacing w:after="0"/>
        <w:jc w:val="both"/>
        <w:rPr>
          <w:rFonts w:eastAsia="MS Mincho"/>
          <w:lang w:eastAsia="ja-JP"/>
        </w:rPr>
      </w:pPr>
      <w:r>
        <w:rPr>
          <w:rFonts w:eastAsia="MS Mincho"/>
          <w:lang w:eastAsia="ja-JP"/>
        </w:rPr>
        <w:t>In the case of dynamic</w:t>
      </w:r>
      <w:r w:rsidRPr="0039030F">
        <w:rPr>
          <w:rFonts w:eastAsia="MS Mincho"/>
          <w:lang w:eastAsia="ja-JP"/>
        </w:rPr>
        <w:t xml:space="preserve"> HAR</w:t>
      </w:r>
      <w:r w:rsidR="0039030F" w:rsidRPr="0039030F">
        <w:rPr>
          <w:rFonts w:eastAsia="MS Mincho"/>
          <w:lang w:eastAsia="ja-JP"/>
        </w:rPr>
        <w:t xml:space="preserve">Q-ACK codebook based on the DAI, </w:t>
      </w:r>
    </w:p>
    <w:p w14:paraId="5DFA6A86" w14:textId="77777777" w:rsidR="0039030F" w:rsidRPr="0039030F" w:rsidRDefault="00041FB3" w:rsidP="0039030F">
      <w:pPr>
        <w:pStyle w:val="ListParagraph"/>
        <w:numPr>
          <w:ilvl w:val="0"/>
          <w:numId w:val="67"/>
        </w:numPr>
        <w:jc w:val="both"/>
        <w:rPr>
          <w:sz w:val="20"/>
          <w:szCs w:val="20"/>
          <w:lang w:val="en-US"/>
        </w:rPr>
      </w:pPr>
      <w:r w:rsidRPr="009B5D17">
        <w:rPr>
          <w:rFonts w:eastAsia="MS Mincho"/>
          <w:sz w:val="20"/>
          <w:szCs w:val="20"/>
          <w:lang w:val="en-US" w:eastAsia="ja-JP"/>
        </w:rPr>
        <w:t xml:space="preserve">DL association set starts from a slot where PDSCH is associated to HARQ-ACK transmission in the certain slot for the first time and ends to the last PDSCH for which HARQ-ACK is transmitted in the same slot. </w:t>
      </w:r>
    </w:p>
    <w:p w14:paraId="1CFF0550" w14:textId="77777777" w:rsidR="0039030F" w:rsidRPr="0039030F" w:rsidRDefault="00041FB3" w:rsidP="0039030F">
      <w:pPr>
        <w:pStyle w:val="ListParagraph"/>
        <w:numPr>
          <w:ilvl w:val="0"/>
          <w:numId w:val="67"/>
        </w:numPr>
        <w:jc w:val="both"/>
        <w:rPr>
          <w:sz w:val="20"/>
          <w:szCs w:val="20"/>
          <w:lang w:val="en-US"/>
        </w:rPr>
      </w:pPr>
      <w:r w:rsidRPr="0039030F">
        <w:rPr>
          <w:rFonts w:eastAsia="MS Mincho"/>
          <w:sz w:val="20"/>
          <w:szCs w:val="20"/>
          <w:lang w:val="en-US" w:eastAsia="ja-JP"/>
        </w:rPr>
        <w:t xml:space="preserve">HARQ-ACK is reported only for scheduled PDSCHs within the DL association set. </w:t>
      </w:r>
    </w:p>
    <w:p w14:paraId="663EB91C" w14:textId="44AD3750" w:rsidR="0039030F" w:rsidRPr="0039030F" w:rsidRDefault="00041FB3" w:rsidP="0039030F">
      <w:pPr>
        <w:pStyle w:val="ListParagraph"/>
        <w:numPr>
          <w:ilvl w:val="0"/>
          <w:numId w:val="67"/>
        </w:numPr>
        <w:jc w:val="both"/>
        <w:rPr>
          <w:sz w:val="20"/>
          <w:szCs w:val="20"/>
          <w:lang w:val="en-US"/>
        </w:rPr>
      </w:pPr>
      <w:r w:rsidRPr="0039030F">
        <w:rPr>
          <w:rFonts w:eastAsia="MS Mincho"/>
          <w:sz w:val="20"/>
          <w:szCs w:val="20"/>
          <w:lang w:val="en-US" w:eastAsia="ja-JP"/>
        </w:rPr>
        <w:t xml:space="preserve">Counter DAI is incremented per scheduled PDSCH, hence, representing the number of PDSCHs scheduled within the DL association set up to </w:t>
      </w:r>
      <w:r w:rsidR="003C21BC">
        <w:rPr>
          <w:rFonts w:eastAsia="MS Mincho"/>
          <w:sz w:val="20"/>
          <w:szCs w:val="20"/>
          <w:lang w:val="en-US" w:eastAsia="ja-JP"/>
        </w:rPr>
        <w:t xml:space="preserve">(and including) </w:t>
      </w:r>
      <w:r w:rsidRPr="0039030F">
        <w:rPr>
          <w:rFonts w:eastAsia="MS Mincho"/>
          <w:sz w:val="20"/>
          <w:szCs w:val="20"/>
          <w:lang w:val="en-US" w:eastAsia="ja-JP"/>
        </w:rPr>
        <w:t>that PDSCH</w:t>
      </w:r>
      <w:r w:rsidR="003C21BC">
        <w:rPr>
          <w:rFonts w:eastAsia="MS Mincho"/>
          <w:sz w:val="20"/>
          <w:szCs w:val="20"/>
          <w:lang w:val="en-US" w:eastAsia="ja-JP"/>
        </w:rPr>
        <w:t>. The scheduled PDSCHs may contain slots and/or mini-slots.</w:t>
      </w:r>
      <w:r w:rsidRPr="0039030F">
        <w:rPr>
          <w:rFonts w:eastAsia="MS Mincho"/>
          <w:sz w:val="20"/>
          <w:szCs w:val="20"/>
          <w:lang w:val="en-US" w:eastAsia="ja-JP"/>
        </w:rPr>
        <w:t xml:space="preserve"> </w:t>
      </w:r>
    </w:p>
    <w:p w14:paraId="30E2FAB1" w14:textId="69771B68" w:rsidR="003C21BC" w:rsidRPr="003C21BC" w:rsidRDefault="00041FB3" w:rsidP="0039030F">
      <w:pPr>
        <w:pStyle w:val="ListParagraph"/>
        <w:numPr>
          <w:ilvl w:val="0"/>
          <w:numId w:val="67"/>
        </w:numPr>
        <w:spacing w:after="120"/>
        <w:ind w:left="714" w:hanging="357"/>
        <w:jc w:val="both"/>
        <w:rPr>
          <w:sz w:val="20"/>
          <w:szCs w:val="20"/>
          <w:lang w:val="en-US"/>
        </w:rPr>
      </w:pPr>
      <w:r w:rsidRPr="0039030F">
        <w:rPr>
          <w:rFonts w:eastAsia="MS Mincho"/>
          <w:sz w:val="20"/>
          <w:szCs w:val="20"/>
          <w:lang w:val="en-US" w:eastAsia="ja-JP"/>
        </w:rPr>
        <w:t>Total DAI represents the total number of scheduled PDSCHs</w:t>
      </w:r>
      <w:r w:rsidR="00852631" w:rsidRPr="0039030F">
        <w:rPr>
          <w:rFonts w:eastAsia="MS Mincho"/>
          <w:sz w:val="20"/>
          <w:szCs w:val="20"/>
          <w:lang w:val="en-US" w:eastAsia="ja-JP"/>
        </w:rPr>
        <w:t xml:space="preserve"> </w:t>
      </w:r>
      <w:r w:rsidRPr="0039030F">
        <w:rPr>
          <w:rFonts w:eastAsia="MS Mincho"/>
          <w:sz w:val="20"/>
          <w:szCs w:val="20"/>
          <w:lang w:val="en-US" w:eastAsia="ja-JP"/>
        </w:rPr>
        <w:t xml:space="preserve">for which </w:t>
      </w:r>
      <w:r w:rsidR="003C21BC">
        <w:rPr>
          <w:rFonts w:eastAsia="MS Mincho"/>
          <w:sz w:val="20"/>
          <w:szCs w:val="20"/>
          <w:lang w:val="en-US" w:eastAsia="ja-JP"/>
        </w:rPr>
        <w:t xml:space="preserve">UE reports </w:t>
      </w:r>
      <w:r w:rsidR="00852631" w:rsidRPr="0039030F">
        <w:rPr>
          <w:rFonts w:eastAsia="MS Mincho"/>
          <w:sz w:val="20"/>
          <w:szCs w:val="20"/>
          <w:lang w:val="en-US" w:eastAsia="ja-JP"/>
        </w:rPr>
        <w:t>HARQ-ACKs on the indicated PUCCH.</w:t>
      </w:r>
    </w:p>
    <w:p w14:paraId="6D7064F7" w14:textId="25872BC8" w:rsidR="00735F5D" w:rsidRPr="0039030F" w:rsidRDefault="003C21BC" w:rsidP="0039030F">
      <w:pPr>
        <w:pStyle w:val="ListParagraph"/>
        <w:numPr>
          <w:ilvl w:val="0"/>
          <w:numId w:val="67"/>
        </w:numPr>
        <w:spacing w:after="120"/>
        <w:ind w:left="714" w:hanging="357"/>
        <w:jc w:val="both"/>
        <w:rPr>
          <w:sz w:val="20"/>
          <w:szCs w:val="20"/>
          <w:lang w:val="en-US"/>
        </w:rPr>
      </w:pPr>
      <w:r>
        <w:rPr>
          <w:rFonts w:eastAsia="MS Mincho"/>
          <w:sz w:val="20"/>
          <w:szCs w:val="20"/>
          <w:lang w:val="en-US" w:eastAsia="ja-JP"/>
        </w:rPr>
        <w:t>We see 2-bit DAI field to provide sufficient robustness.</w:t>
      </w:r>
      <w:r w:rsidR="00041FB3" w:rsidRPr="0039030F">
        <w:rPr>
          <w:rFonts w:eastAsia="MS Mincho"/>
          <w:sz w:val="20"/>
          <w:szCs w:val="20"/>
          <w:lang w:val="en-US" w:eastAsia="ja-JP"/>
        </w:rPr>
        <w:t xml:space="preserve">  </w:t>
      </w:r>
    </w:p>
    <w:p w14:paraId="704B4E42" w14:textId="47B68DF4" w:rsidR="0039030F" w:rsidRPr="0039030F" w:rsidRDefault="0039030F" w:rsidP="00D10F3E">
      <w:pPr>
        <w:jc w:val="both"/>
        <w:rPr>
          <w:bCs/>
          <w:iCs/>
        </w:rPr>
      </w:pPr>
      <w:r w:rsidRPr="0039030F">
        <w:rPr>
          <w:bCs/>
          <w:iCs/>
        </w:rPr>
        <w:t>Based on the discussion above, we propose following:</w:t>
      </w:r>
    </w:p>
    <w:p w14:paraId="002BC680" w14:textId="1A9EEC35" w:rsidR="004142CD" w:rsidRPr="003C21BC" w:rsidRDefault="004142CD" w:rsidP="00D10F3E">
      <w:pPr>
        <w:jc w:val="both"/>
        <w:rPr>
          <w:rFonts w:eastAsiaTheme="minorEastAsia"/>
          <w:i/>
          <w:lang w:val="en-US" w:eastAsia="zh-CN"/>
        </w:rPr>
      </w:pPr>
      <w:r w:rsidRPr="003252A4">
        <w:rPr>
          <w:b/>
          <w:bCs/>
          <w:i/>
          <w:iCs/>
        </w:rPr>
        <w:t>Proposal #</w:t>
      </w:r>
      <w:r w:rsidR="006107C9">
        <w:rPr>
          <w:b/>
          <w:bCs/>
          <w:i/>
          <w:iCs/>
        </w:rPr>
        <w:t>5</w:t>
      </w:r>
      <w:r w:rsidRPr="003252A4">
        <w:rPr>
          <w:b/>
          <w:bCs/>
          <w:i/>
          <w:iCs/>
        </w:rPr>
        <w:t>:</w:t>
      </w:r>
      <w:r w:rsidR="003C21BC">
        <w:rPr>
          <w:rFonts w:eastAsia="MS Mincho"/>
          <w:lang w:val="en-US" w:eastAsia="ja-JP"/>
        </w:rPr>
        <w:t xml:space="preserve"> </w:t>
      </w:r>
      <w:r w:rsidR="003C21BC" w:rsidRPr="003C21BC">
        <w:rPr>
          <w:rFonts w:eastAsia="MS Mincho"/>
          <w:i/>
          <w:lang w:val="en-US" w:eastAsia="ja-JP"/>
        </w:rPr>
        <w:t xml:space="preserve">In the case of semi-static HARQ-ACK codebook, the </w:t>
      </w:r>
      <w:r w:rsidR="003C21BC">
        <w:rPr>
          <w:rFonts w:eastAsia="MS Mincho"/>
          <w:i/>
          <w:lang w:val="en-US" w:eastAsia="ja-JP"/>
        </w:rPr>
        <w:t>DL association set is</w:t>
      </w:r>
      <w:r w:rsidR="003C21BC" w:rsidRPr="003C21BC">
        <w:rPr>
          <w:rFonts w:eastAsia="MS Mincho"/>
          <w:i/>
          <w:lang w:val="en-US" w:eastAsia="ja-JP"/>
        </w:rPr>
        <w:t xml:space="preserve"> determined based on the configured maximum and minimum HARQ-ACK timing values.</w:t>
      </w:r>
    </w:p>
    <w:p w14:paraId="3CB7E692" w14:textId="5DD8667F" w:rsidR="003C21BC" w:rsidRPr="003C21BC" w:rsidRDefault="004142CD" w:rsidP="003C21BC">
      <w:pPr>
        <w:spacing w:after="0"/>
        <w:jc w:val="both"/>
      </w:pPr>
      <w:r w:rsidRPr="003252A4">
        <w:rPr>
          <w:b/>
          <w:bCs/>
          <w:i/>
          <w:iCs/>
          <w:lang w:val="en-US"/>
        </w:rPr>
        <w:t>Proposal</w:t>
      </w:r>
      <w:r w:rsidRPr="003252A4">
        <w:rPr>
          <w:b/>
          <w:bCs/>
          <w:i/>
          <w:iCs/>
        </w:rPr>
        <w:t xml:space="preserve"> #</w:t>
      </w:r>
      <w:r w:rsidR="006107C9">
        <w:rPr>
          <w:b/>
          <w:bCs/>
          <w:i/>
          <w:iCs/>
        </w:rPr>
        <w:t>6</w:t>
      </w:r>
      <w:r w:rsidRPr="003252A4">
        <w:rPr>
          <w:b/>
          <w:bCs/>
          <w:i/>
          <w:iCs/>
        </w:rPr>
        <w:t xml:space="preserve">: </w:t>
      </w:r>
      <w:r w:rsidR="003C21BC" w:rsidRPr="003C21BC">
        <w:rPr>
          <w:bCs/>
          <w:i/>
          <w:iCs/>
        </w:rPr>
        <w:t>In the case of dynamic HARQ-ACK codebook</w:t>
      </w:r>
      <w:r w:rsidR="003C21BC" w:rsidRPr="003C21BC">
        <w:t xml:space="preserve">, </w:t>
      </w:r>
    </w:p>
    <w:p w14:paraId="0FFBDB81" w14:textId="51E10DA6" w:rsidR="003C21BC" w:rsidRPr="003C21BC" w:rsidRDefault="003C21BC" w:rsidP="003C21BC">
      <w:pPr>
        <w:pStyle w:val="ListParagraph"/>
        <w:numPr>
          <w:ilvl w:val="0"/>
          <w:numId w:val="68"/>
        </w:numPr>
        <w:jc w:val="both"/>
        <w:rPr>
          <w:bCs/>
          <w:i/>
          <w:iCs/>
          <w:sz w:val="20"/>
          <w:lang w:val="en-GB" w:eastAsia="en-US"/>
        </w:rPr>
      </w:pPr>
      <w:r w:rsidRPr="003C21BC">
        <w:rPr>
          <w:sz w:val="20"/>
          <w:szCs w:val="20"/>
          <w:lang w:val="en-US"/>
        </w:rPr>
        <w:t>2</w:t>
      </w:r>
      <w:r w:rsidRPr="003C21BC">
        <w:rPr>
          <w:i/>
          <w:sz w:val="20"/>
          <w:szCs w:val="20"/>
          <w:lang w:val="en-US"/>
        </w:rPr>
        <w:t xml:space="preserve">-bit </w:t>
      </w:r>
      <w:r w:rsidRPr="003C21BC">
        <w:rPr>
          <w:bCs/>
          <w:i/>
          <w:iCs/>
          <w:sz w:val="20"/>
          <w:szCs w:val="20"/>
          <w:lang w:val="en-US"/>
        </w:rPr>
        <w:t>Counter DAI is incremented per scheduled PDSCH and represents the number of PDSCHs scheduled within the</w:t>
      </w:r>
      <w:r w:rsidRPr="003C21BC">
        <w:rPr>
          <w:bCs/>
          <w:i/>
          <w:iCs/>
          <w:sz w:val="20"/>
          <w:lang w:val="en-US"/>
        </w:rPr>
        <w:t xml:space="preserve"> DL association set up to that PDSCH. </w:t>
      </w:r>
    </w:p>
    <w:p w14:paraId="28A7A5F8" w14:textId="4DE3F834" w:rsidR="00692297" w:rsidRPr="003C21BC" w:rsidRDefault="003C21BC" w:rsidP="003C21BC">
      <w:pPr>
        <w:pStyle w:val="ListParagraph"/>
        <w:numPr>
          <w:ilvl w:val="0"/>
          <w:numId w:val="68"/>
        </w:numPr>
        <w:spacing w:after="360"/>
        <w:ind w:left="714" w:hanging="357"/>
        <w:jc w:val="both"/>
        <w:rPr>
          <w:bCs/>
          <w:i/>
          <w:iCs/>
          <w:sz w:val="20"/>
          <w:lang w:val="en-US"/>
        </w:rPr>
      </w:pPr>
      <w:r w:rsidRPr="003C21BC">
        <w:rPr>
          <w:bCs/>
          <w:i/>
          <w:iCs/>
          <w:sz w:val="20"/>
          <w:lang w:val="en-US"/>
        </w:rPr>
        <w:t>2-bit Total DAI represents the total number of scheduled PDSCHs for which UE reports HARQ-ACKs on the indicated PUCCH</w:t>
      </w:r>
    </w:p>
    <w:p w14:paraId="6BA2CE15" w14:textId="2ACEE8F0" w:rsidR="001C182D" w:rsidRDefault="001C182D" w:rsidP="001C182D">
      <w:pPr>
        <w:pStyle w:val="Heading2"/>
      </w:pPr>
      <w:r>
        <w:t xml:space="preserve">3.2 HARQ feedback </w:t>
      </w:r>
      <w:r w:rsidR="00595799">
        <w:t>in carrier aggregation</w:t>
      </w:r>
    </w:p>
    <w:p w14:paraId="2FE13289" w14:textId="4EE4E383" w:rsidR="00595799" w:rsidRPr="009B5D17" w:rsidRDefault="009B5D17" w:rsidP="00754993">
      <w:pPr>
        <w:spacing w:after="120"/>
        <w:jc w:val="both"/>
        <w:rPr>
          <w:rFonts w:eastAsiaTheme="minorHAnsi"/>
        </w:rPr>
      </w:pPr>
      <w:r>
        <w:t xml:space="preserve">In this section, we focus on the joint HARQ feedback for multiple DL carriers. In here, we limit the consideration to the cases where joint HARQ feedback is provided over DL carriers using the same numerology, and the presented approach is a sub-set of our </w:t>
      </w:r>
      <w:r w:rsidRPr="00EB678D">
        <w:t xml:space="preserve">approach in </w:t>
      </w:r>
      <w:r w:rsidRPr="00754993">
        <w:fldChar w:fldCharType="begin"/>
      </w:r>
      <w:r w:rsidRPr="00754993">
        <w:instrText xml:space="preserve"> REF _Ref494634151 \r \h  \* MERGEFORMAT </w:instrText>
      </w:r>
      <w:r w:rsidRPr="00754993">
        <w:fldChar w:fldCharType="separate"/>
      </w:r>
      <w:r w:rsidRPr="00754993">
        <w:t>[</w:t>
      </w:r>
      <w:r w:rsidR="001A0C1F" w:rsidRPr="00754993">
        <w:t>3</w:t>
      </w:r>
      <w:r w:rsidRPr="00754993">
        <w:t>]</w:t>
      </w:r>
      <w:r w:rsidRPr="00754993">
        <w:fldChar w:fldCharType="end"/>
      </w:r>
      <w:r w:rsidRPr="00754993">
        <w:t xml:space="preserve"> addressing also</w:t>
      </w:r>
      <w:r>
        <w:t xml:space="preserve"> multi-numerology case. In RAN1#90, it was agreed that both semi-static and dynamic HARQ ACK codebooks are supported in NR.</w:t>
      </w:r>
      <w:r w:rsidR="005C5013">
        <w:t xml:space="preserve"> In RAN1#90bis, further agreements were reached:</w:t>
      </w:r>
      <w:r>
        <w:t xml:space="preserve"> </w:t>
      </w:r>
    </w:p>
    <w:p w14:paraId="0361F996" w14:textId="77777777" w:rsidR="00313B7A" w:rsidRPr="00313B7A" w:rsidRDefault="00313B7A" w:rsidP="00313B7A">
      <w:pPr>
        <w:spacing w:after="60"/>
        <w:rPr>
          <w:i/>
          <w:sz w:val="18"/>
        </w:rPr>
      </w:pPr>
      <w:r w:rsidRPr="00313B7A">
        <w:rPr>
          <w:i/>
          <w:sz w:val="18"/>
          <w:highlight w:val="green"/>
        </w:rPr>
        <w:t>Agreements</w:t>
      </w:r>
      <w:r w:rsidRPr="00313B7A">
        <w:rPr>
          <w:i/>
          <w:sz w:val="18"/>
        </w:rPr>
        <w:t>:</w:t>
      </w:r>
    </w:p>
    <w:p w14:paraId="60B092B5" w14:textId="77777777" w:rsidR="00313B7A" w:rsidRPr="00313B7A" w:rsidRDefault="00313B7A" w:rsidP="00313B7A">
      <w:pPr>
        <w:numPr>
          <w:ilvl w:val="0"/>
          <w:numId w:val="55"/>
        </w:numPr>
        <w:overflowPunct/>
        <w:autoSpaceDE/>
        <w:autoSpaceDN/>
        <w:adjustRightInd/>
        <w:spacing w:after="60" w:line="259" w:lineRule="auto"/>
        <w:textAlignment w:val="auto"/>
        <w:rPr>
          <w:i/>
          <w:sz w:val="18"/>
        </w:rPr>
      </w:pPr>
      <w:r w:rsidRPr="00313B7A">
        <w:rPr>
          <w:i/>
          <w:sz w:val="18"/>
        </w:rPr>
        <w:t xml:space="preserve"> ‘Semi-static’ HARQ-ACK codebook (per PUCCH group) is at least determined by </w:t>
      </w:r>
    </w:p>
    <w:p w14:paraId="70F92033" w14:textId="77777777" w:rsidR="00313B7A" w:rsidRPr="00313B7A" w:rsidRDefault="00313B7A" w:rsidP="00313B7A">
      <w:pPr>
        <w:numPr>
          <w:ilvl w:val="1"/>
          <w:numId w:val="55"/>
        </w:numPr>
        <w:overflowPunct/>
        <w:autoSpaceDE/>
        <w:autoSpaceDN/>
        <w:adjustRightInd/>
        <w:spacing w:after="60" w:line="259" w:lineRule="auto"/>
        <w:textAlignment w:val="auto"/>
        <w:rPr>
          <w:i/>
          <w:sz w:val="18"/>
        </w:rPr>
      </w:pPr>
      <w:r w:rsidRPr="00313B7A">
        <w:rPr>
          <w:i/>
          <w:sz w:val="18"/>
        </w:rPr>
        <w:t>Configured number of DL Cells</w:t>
      </w:r>
    </w:p>
    <w:p w14:paraId="2055348C" w14:textId="77777777" w:rsidR="00313B7A" w:rsidRPr="00313B7A" w:rsidRDefault="00313B7A" w:rsidP="00313B7A">
      <w:pPr>
        <w:numPr>
          <w:ilvl w:val="1"/>
          <w:numId w:val="55"/>
        </w:numPr>
        <w:overflowPunct/>
        <w:autoSpaceDE/>
        <w:autoSpaceDN/>
        <w:adjustRightInd/>
        <w:spacing w:after="60" w:line="259" w:lineRule="auto"/>
        <w:textAlignment w:val="auto"/>
        <w:rPr>
          <w:i/>
          <w:sz w:val="18"/>
        </w:rPr>
      </w:pPr>
      <w:r w:rsidRPr="00313B7A">
        <w:rPr>
          <w:i/>
          <w:sz w:val="18"/>
        </w:rPr>
        <w:t>The max number of TBs based on configuration for each DL cell</w:t>
      </w:r>
    </w:p>
    <w:p w14:paraId="7FCDA79C" w14:textId="77777777" w:rsidR="00313B7A" w:rsidRPr="00313B7A" w:rsidRDefault="00313B7A" w:rsidP="00313B7A">
      <w:pPr>
        <w:numPr>
          <w:ilvl w:val="1"/>
          <w:numId w:val="55"/>
        </w:numPr>
        <w:overflowPunct/>
        <w:autoSpaceDE/>
        <w:autoSpaceDN/>
        <w:adjustRightInd/>
        <w:spacing w:after="60" w:line="259" w:lineRule="auto"/>
        <w:textAlignment w:val="auto"/>
        <w:rPr>
          <w:i/>
          <w:sz w:val="18"/>
        </w:rPr>
      </w:pPr>
      <w:r w:rsidRPr="00313B7A">
        <w:rPr>
          <w:i/>
          <w:sz w:val="18"/>
        </w:rPr>
        <w:t>Configured number of CBGs per TB per configured DL cell</w:t>
      </w:r>
    </w:p>
    <w:p w14:paraId="0FA41A30" w14:textId="77777777" w:rsidR="00313B7A" w:rsidRPr="00313B7A" w:rsidRDefault="00313B7A" w:rsidP="00313B7A">
      <w:pPr>
        <w:numPr>
          <w:ilvl w:val="1"/>
          <w:numId w:val="55"/>
        </w:numPr>
        <w:overflowPunct/>
        <w:autoSpaceDE/>
        <w:autoSpaceDN/>
        <w:adjustRightInd/>
        <w:spacing w:after="60" w:line="259" w:lineRule="auto"/>
        <w:textAlignment w:val="auto"/>
        <w:rPr>
          <w:i/>
          <w:sz w:val="18"/>
        </w:rPr>
      </w:pPr>
      <w:r w:rsidRPr="00313B7A">
        <w:rPr>
          <w:i/>
          <w:sz w:val="18"/>
        </w:rPr>
        <w:t>FFS: Handling of different numerology between UL and DL</w:t>
      </w:r>
    </w:p>
    <w:p w14:paraId="258D697F" w14:textId="77777777" w:rsidR="00313B7A" w:rsidRPr="00313B7A" w:rsidRDefault="00313B7A" w:rsidP="00313B7A">
      <w:pPr>
        <w:numPr>
          <w:ilvl w:val="1"/>
          <w:numId w:val="55"/>
        </w:numPr>
        <w:overflowPunct/>
        <w:autoSpaceDE/>
        <w:autoSpaceDN/>
        <w:adjustRightInd/>
        <w:spacing w:after="60" w:line="259" w:lineRule="auto"/>
        <w:textAlignment w:val="auto"/>
        <w:rPr>
          <w:i/>
          <w:sz w:val="18"/>
        </w:rPr>
      </w:pPr>
      <w:r w:rsidRPr="00313B7A">
        <w:rPr>
          <w:i/>
          <w:sz w:val="18"/>
        </w:rPr>
        <w:t>Details FFS</w:t>
      </w:r>
    </w:p>
    <w:p w14:paraId="3D15009B" w14:textId="77777777" w:rsidR="00313B7A" w:rsidRPr="00313B7A" w:rsidRDefault="00313B7A" w:rsidP="00313B7A">
      <w:pPr>
        <w:numPr>
          <w:ilvl w:val="0"/>
          <w:numId w:val="55"/>
        </w:numPr>
        <w:spacing w:after="60"/>
        <w:jc w:val="both"/>
        <w:rPr>
          <w:rFonts w:eastAsia="MS Mincho"/>
          <w:i/>
          <w:sz w:val="18"/>
        </w:rPr>
      </w:pPr>
      <w:r w:rsidRPr="00313B7A">
        <w:rPr>
          <w:rFonts w:eastAsia="MS Mincho"/>
          <w:i/>
          <w:sz w:val="18"/>
        </w:rPr>
        <w:t>Dynamic HARQ-ACK codebook (per PUCCH group) with CBG configuration at least for one serving cell</w:t>
      </w:r>
    </w:p>
    <w:p w14:paraId="69C5217C" w14:textId="77777777" w:rsidR="00313B7A" w:rsidRPr="00313B7A" w:rsidRDefault="00313B7A" w:rsidP="00EE4EAC">
      <w:pPr>
        <w:numPr>
          <w:ilvl w:val="1"/>
          <w:numId w:val="55"/>
        </w:numPr>
        <w:spacing w:after="120"/>
        <w:ind w:left="1434" w:hanging="357"/>
        <w:jc w:val="both"/>
        <w:rPr>
          <w:rFonts w:eastAsia="MS Mincho"/>
          <w:i/>
          <w:sz w:val="18"/>
        </w:rPr>
      </w:pPr>
      <w:r w:rsidRPr="00313B7A">
        <w:rPr>
          <w:rFonts w:eastAsia="MS Mincho"/>
          <w:i/>
          <w:sz w:val="18"/>
        </w:rPr>
        <w:t>Details FFS</w:t>
      </w:r>
    </w:p>
    <w:p w14:paraId="61D26C10" w14:textId="7EF6061B" w:rsidR="0064373B" w:rsidRPr="006D500F" w:rsidRDefault="00EE4EAC" w:rsidP="00D10F3E">
      <w:pPr>
        <w:jc w:val="both"/>
        <w:rPr>
          <w:rFonts w:eastAsiaTheme="minorEastAsia"/>
          <w:lang w:val="en-US" w:eastAsia="zh-CN"/>
        </w:rPr>
      </w:pPr>
      <w:r>
        <w:rPr>
          <w:rFonts w:eastAsia="MS Mincho"/>
          <w:lang w:eastAsia="ja-JP"/>
        </w:rPr>
        <w:t>In previous section</w:t>
      </w:r>
      <w:r w:rsidR="0064373B">
        <w:rPr>
          <w:rFonts w:eastAsia="MS Mincho"/>
          <w:lang w:eastAsia="ja-JP"/>
        </w:rPr>
        <w:t xml:space="preserve">, we focused on the DL association set determination per </w:t>
      </w:r>
      <w:r w:rsidR="00470890">
        <w:rPr>
          <w:rFonts w:eastAsia="MS Mincho"/>
          <w:lang w:eastAsia="ja-JP"/>
        </w:rPr>
        <w:t>active BWP on a cell. T</w:t>
      </w:r>
      <w:r w:rsidR="0064373B">
        <w:rPr>
          <w:rFonts w:eastAsia="MS Mincho"/>
          <w:lang w:eastAsia="ja-JP"/>
        </w:rPr>
        <w:t>he same approach can be applied also for joint HARQ feedback for multiple DL cells:</w:t>
      </w:r>
      <w:r w:rsidR="0064373B">
        <w:t xml:space="preserve"> The same DL association set is used for </w:t>
      </w:r>
      <w:r w:rsidR="0064373B">
        <w:rPr>
          <w:rFonts w:eastAsia="MS Mincho"/>
          <w:lang w:eastAsia="ja-JP"/>
        </w:rPr>
        <w:t xml:space="preserve">DL active BWPs with the same </w:t>
      </w:r>
      <w:r w:rsidR="0064373B">
        <w:t xml:space="preserve">numerology. </w:t>
      </w:r>
      <w:r w:rsidR="006D500F">
        <w:rPr>
          <w:rFonts w:eastAsia="MS Mincho"/>
          <w:lang w:val="en-US" w:eastAsia="ja-JP"/>
        </w:rPr>
        <w:t>In the case of semi-static HARQ-ACK codebook, the DL association set is</w:t>
      </w:r>
      <w:r w:rsidR="006D500F" w:rsidRPr="008C4E61">
        <w:rPr>
          <w:rFonts w:eastAsia="MS Mincho"/>
          <w:lang w:val="en-US" w:eastAsia="ja-JP"/>
        </w:rPr>
        <w:t xml:space="preserve"> </w:t>
      </w:r>
      <w:r w:rsidR="006D500F">
        <w:rPr>
          <w:rFonts w:eastAsia="MS Mincho"/>
          <w:lang w:val="en-US" w:eastAsia="ja-JP"/>
        </w:rPr>
        <w:t xml:space="preserve">simply semi-statically determined </w:t>
      </w:r>
      <w:r w:rsidR="006D500F" w:rsidRPr="008C4E61">
        <w:rPr>
          <w:rFonts w:eastAsia="MS Mincho"/>
          <w:lang w:val="en-US" w:eastAsia="ja-JP"/>
        </w:rPr>
        <w:t xml:space="preserve">based on the configured </w:t>
      </w:r>
      <w:r w:rsidR="006D500F">
        <w:rPr>
          <w:rFonts w:eastAsia="MS Mincho"/>
          <w:lang w:val="en-US" w:eastAsia="ja-JP"/>
        </w:rPr>
        <w:t>maximum and minimum HARQ-</w:t>
      </w:r>
      <w:r w:rsidR="006D500F" w:rsidRPr="008C4E61">
        <w:rPr>
          <w:rFonts w:eastAsia="MS Mincho"/>
          <w:lang w:val="en-US" w:eastAsia="ja-JP"/>
        </w:rPr>
        <w:t>ACK timing values.</w:t>
      </w:r>
      <w:r w:rsidR="006D500F">
        <w:rPr>
          <w:rFonts w:eastAsiaTheme="minorEastAsia"/>
          <w:lang w:val="en-US" w:eastAsia="zh-CN"/>
        </w:rPr>
        <w:t xml:space="preserve"> Also </w:t>
      </w:r>
      <w:r w:rsidR="006D500F">
        <w:t>i</w:t>
      </w:r>
      <w:r w:rsidR="0064373B">
        <w:t xml:space="preserve">n the case of dynamic </w:t>
      </w:r>
      <w:r w:rsidR="006D500F">
        <w:t xml:space="preserve">HARQ codebook, DL association set  </w:t>
      </w:r>
      <w:r w:rsidR="0064373B">
        <w:t>is determined jointly over all active BWP in DL cells: the DL association set starts from a slot where a PDSCH is associated to UCI transmission in the certain slot for the first time on any of DL a</w:t>
      </w:r>
      <w:r w:rsidR="005B6F17">
        <w:t>ctive BWPs, as shown in Figure 1</w:t>
      </w:r>
      <w:r w:rsidR="0064373B">
        <w:t xml:space="preserve">. </w:t>
      </w:r>
    </w:p>
    <w:p w14:paraId="5178D2A5" w14:textId="3DF8FF18" w:rsidR="0064373B" w:rsidRDefault="00EE4EAC" w:rsidP="0064373B">
      <w:pPr>
        <w:jc w:val="both"/>
        <w:rPr>
          <w:b/>
        </w:rPr>
      </w:pPr>
      <w:r>
        <w:rPr>
          <w:b/>
          <w:i/>
        </w:rPr>
        <w:t>Proposal #</w:t>
      </w:r>
      <w:r w:rsidR="006107C9" w:rsidRPr="00754993">
        <w:rPr>
          <w:b/>
          <w:i/>
        </w:rPr>
        <w:t>7</w:t>
      </w:r>
      <w:r w:rsidR="0064373B" w:rsidRPr="00754993">
        <w:rPr>
          <w:b/>
          <w:i/>
        </w:rPr>
        <w:t>:</w:t>
      </w:r>
      <w:r w:rsidR="0064373B" w:rsidRPr="00D10F3E">
        <w:t xml:space="preserve"> </w:t>
      </w:r>
      <w:r w:rsidR="0064373B" w:rsidRPr="00D10F3E">
        <w:rPr>
          <w:i/>
        </w:rPr>
        <w:t>Single</w:t>
      </w:r>
      <w:r w:rsidR="0064373B" w:rsidRPr="00EE4EAC">
        <w:rPr>
          <w:i/>
        </w:rPr>
        <w:t xml:space="preserve"> DL association set is determined jointly over </w:t>
      </w:r>
      <w:r w:rsidR="0064373B" w:rsidRPr="00EE4EAC">
        <w:rPr>
          <w:rFonts w:eastAsia="MS Mincho"/>
          <w:i/>
          <w:lang w:eastAsia="ja-JP"/>
        </w:rPr>
        <w:t xml:space="preserve">DL active BWPs in cells with the same </w:t>
      </w:r>
      <w:r w:rsidR="0064373B" w:rsidRPr="00EE4EAC">
        <w:rPr>
          <w:i/>
        </w:rPr>
        <w:t>numerology.</w:t>
      </w:r>
    </w:p>
    <w:p w14:paraId="2335DD8F" w14:textId="738ADF71" w:rsidR="0064373B" w:rsidRDefault="0064373B" w:rsidP="0064373B">
      <w:pPr>
        <w:jc w:val="center"/>
        <w:rPr>
          <w:b/>
        </w:rPr>
      </w:pPr>
      <w:r>
        <w:rPr>
          <w:noProof/>
        </w:rPr>
        <w:lastRenderedPageBreak/>
        <w:drawing>
          <wp:inline distT="0" distB="0" distL="0" distR="0" wp14:anchorId="113DFC35" wp14:editId="5924548C">
            <wp:extent cx="5362575" cy="2528468"/>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6716" cy="2530420"/>
                    </a:xfrm>
                    <a:prstGeom prst="rect">
                      <a:avLst/>
                    </a:prstGeom>
                    <a:noFill/>
                    <a:ln>
                      <a:noFill/>
                    </a:ln>
                  </pic:spPr>
                </pic:pic>
              </a:graphicData>
            </a:graphic>
          </wp:inline>
        </w:drawing>
      </w:r>
    </w:p>
    <w:p w14:paraId="648173B7" w14:textId="02FA0C86" w:rsidR="0064373B" w:rsidRDefault="0064373B" w:rsidP="0064373B">
      <w:pPr>
        <w:pStyle w:val="Caption"/>
        <w:jc w:val="center"/>
      </w:pPr>
      <w:r>
        <w:t xml:space="preserve">Figure </w:t>
      </w:r>
      <w:r w:rsidR="005B6F17">
        <w:rPr>
          <w:lang w:val="en-US"/>
        </w:rPr>
        <w:t>1</w:t>
      </w:r>
      <w:r>
        <w:t>. Dynamic DL association set</w:t>
      </w:r>
      <w:r>
        <w:rPr>
          <w:lang w:val="en-US"/>
        </w:rPr>
        <w:t xml:space="preserve"> determination</w:t>
      </w:r>
      <w:r>
        <w:t xml:space="preserve"> based on the indicated HARQ</w:t>
      </w:r>
      <w:r>
        <w:rPr>
          <w:lang w:val="en-US"/>
        </w:rPr>
        <w:t xml:space="preserve"> </w:t>
      </w:r>
      <w:r>
        <w:t xml:space="preserve">ACK timing </w:t>
      </w:r>
      <w:r>
        <w:rPr>
          <w:lang w:val="en-US"/>
        </w:rPr>
        <w:t>in carrier aggregation</w:t>
      </w:r>
      <w:r>
        <w:t>.</w:t>
      </w:r>
    </w:p>
    <w:p w14:paraId="54A750DF" w14:textId="3D75DBEF" w:rsidR="0064373B" w:rsidRDefault="0064373B" w:rsidP="0064373B">
      <w:pPr>
        <w:spacing w:after="120"/>
        <w:jc w:val="both"/>
        <w:rPr>
          <w:rFonts w:eastAsia="MS Mincho"/>
          <w:lang w:eastAsia="ja-JP"/>
        </w:rPr>
      </w:pPr>
      <w:r>
        <w:t>Dynamic determination of HARQ ACK codebook size is attractive option especially when the size of the reported HARQ feedback can be temporally large but is typically significantly smaller. The support of dynamic codebook size was also agreed in RAN1#90.</w:t>
      </w:r>
    </w:p>
    <w:p w14:paraId="31D65E71" w14:textId="7EBC2130" w:rsidR="0064373B" w:rsidRDefault="0064373B" w:rsidP="0064373B">
      <w:pPr>
        <w:jc w:val="both"/>
        <w:rPr>
          <w:rFonts w:eastAsia="MS Mincho"/>
          <w:lang w:eastAsia="ja-JP"/>
        </w:rPr>
      </w:pPr>
      <w:r>
        <w:rPr>
          <w:rFonts w:eastAsia="MS Mincho"/>
          <w:lang w:eastAsia="ja-JP"/>
        </w:rPr>
        <w:t xml:space="preserve">We assume that a joint DL association set </w:t>
      </w:r>
      <w:r w:rsidR="006D500F">
        <w:rPr>
          <w:rFonts w:eastAsia="MS Mincho"/>
          <w:lang w:eastAsia="ja-JP"/>
        </w:rPr>
        <w:t xml:space="preserve">is </w:t>
      </w:r>
      <w:r>
        <w:rPr>
          <w:rFonts w:eastAsia="MS Mincho"/>
          <w:lang w:eastAsia="ja-JP"/>
        </w:rPr>
        <w:t xml:space="preserve">determined over the DL CCs with the same numerology. In this case, the codebook can be determined jointly over the DL CCs in </w:t>
      </w:r>
      <w:r w:rsidR="005C214A">
        <w:rPr>
          <w:rFonts w:eastAsia="MS Mincho"/>
          <w:lang w:eastAsia="ja-JP"/>
        </w:rPr>
        <w:t>the same DL CC set with the use</w:t>
      </w:r>
      <w:r>
        <w:rPr>
          <w:rFonts w:eastAsia="MS Mincho"/>
          <w:lang w:eastAsia="ja-JP"/>
        </w:rPr>
        <w:t xml:space="preserve"> of counter DAI and total DAI operating in frequency-first–time-second manner as in LTE Rel-13. The total DAI needs to be indicated already on the DCI of first PDSCH associated with the codebook and, hence, total DAI involves either prediction for the scheduling on later slots or scheduling restriction. The DL association set and codebook determination are il</w:t>
      </w:r>
      <w:r w:rsidR="005B6F17">
        <w:rPr>
          <w:rFonts w:eastAsia="MS Mincho"/>
          <w:lang w:eastAsia="ja-JP"/>
        </w:rPr>
        <w:t>lustrated in Figure 1</w:t>
      </w:r>
      <w:r>
        <w:rPr>
          <w:rFonts w:eastAsia="MS Mincho"/>
          <w:lang w:eastAsia="ja-JP"/>
        </w:rPr>
        <w:t xml:space="preserve">. However, when the joint HARQ feedback is limited to a set of DL CCs with the same numerology and processing times, the required scheduling prediction remains on acceptable level. </w:t>
      </w:r>
    </w:p>
    <w:p w14:paraId="07F1F051" w14:textId="5298A515" w:rsidR="0064373B" w:rsidRDefault="0064373B" w:rsidP="0064373B">
      <w:pPr>
        <w:jc w:val="both"/>
        <w:rPr>
          <w:rFonts w:eastAsia="MS Mincho"/>
          <w:lang w:eastAsia="ja-JP"/>
        </w:rPr>
      </w:pPr>
      <w:r>
        <w:rPr>
          <w:rFonts w:eastAsia="MS Mincho"/>
          <w:lang w:eastAsia="ja-JP"/>
        </w:rPr>
        <w:t>The HARQ codebook determination can easily be extended to cover also the case of joint HARQ feedback over</w:t>
      </w:r>
      <w:r w:rsidR="005C214A">
        <w:rPr>
          <w:rFonts w:eastAsia="MS Mincho"/>
          <w:lang w:eastAsia="ja-JP"/>
        </w:rPr>
        <w:t xml:space="preserve"> TB-based and CBG-based transmissions, as well as to cover</w:t>
      </w:r>
      <w:r>
        <w:rPr>
          <w:rFonts w:eastAsia="MS Mincho"/>
          <w:lang w:eastAsia="ja-JP"/>
        </w:rPr>
        <w:t xml:space="preserve"> DL CCs with multiple numerologies and minimum processing times. In this case, the use of separate sub-codebooks for </w:t>
      </w:r>
      <w:r w:rsidR="005C214A">
        <w:rPr>
          <w:rFonts w:eastAsia="MS Mincho"/>
          <w:lang w:eastAsia="ja-JP"/>
        </w:rPr>
        <w:t xml:space="preserve">different transmission mechanisms (as discussed in Section 3.3) and for </w:t>
      </w:r>
      <w:r>
        <w:rPr>
          <w:rFonts w:eastAsia="MS Mincho"/>
          <w:lang w:eastAsia="ja-JP"/>
        </w:rPr>
        <w:t>different DL active BWPs with different numerologies is preferabl</w:t>
      </w:r>
      <w:r w:rsidR="005C214A">
        <w:rPr>
          <w:rFonts w:eastAsia="MS Mincho"/>
          <w:lang w:eastAsia="ja-JP"/>
        </w:rPr>
        <w:t>e</w:t>
      </w:r>
      <w:r>
        <w:rPr>
          <w:rFonts w:eastAsia="MS Mincho"/>
          <w:lang w:eastAsia="ja-JP"/>
        </w:rPr>
        <w:t xml:space="preserve">. </w:t>
      </w:r>
    </w:p>
    <w:p w14:paraId="6C14F29F" w14:textId="145F01C8" w:rsidR="0064373B" w:rsidRPr="00470890" w:rsidRDefault="006D500F" w:rsidP="00470890">
      <w:pPr>
        <w:spacing w:after="360"/>
        <w:jc w:val="both"/>
        <w:rPr>
          <w:rFonts w:eastAsiaTheme="minorHAnsi"/>
          <w:b/>
        </w:rPr>
      </w:pPr>
      <w:r>
        <w:rPr>
          <w:b/>
          <w:i/>
        </w:rPr>
        <w:t>Proposal #</w:t>
      </w:r>
      <w:r w:rsidR="006107C9">
        <w:rPr>
          <w:b/>
          <w:i/>
        </w:rPr>
        <w:t>8</w:t>
      </w:r>
      <w:r w:rsidR="0064373B" w:rsidRPr="00470890">
        <w:rPr>
          <w:b/>
          <w:i/>
        </w:rPr>
        <w:t>:</w:t>
      </w:r>
      <w:r w:rsidR="0064373B">
        <w:rPr>
          <w:b/>
        </w:rPr>
        <w:t xml:space="preserve"> </w:t>
      </w:r>
      <w:r w:rsidR="0064373B" w:rsidRPr="00470890">
        <w:rPr>
          <w:i/>
        </w:rPr>
        <w:t xml:space="preserve">In case of dynamic </w:t>
      </w:r>
      <w:r w:rsidR="00D448E0" w:rsidRPr="00470890">
        <w:rPr>
          <w:i/>
        </w:rPr>
        <w:t>HARQ-ACK codebook</w:t>
      </w:r>
      <w:r w:rsidR="0064373B" w:rsidRPr="00470890">
        <w:rPr>
          <w:i/>
        </w:rPr>
        <w:t xml:space="preserve"> over </w:t>
      </w:r>
      <w:r w:rsidR="0064373B" w:rsidRPr="00470890">
        <w:rPr>
          <w:rFonts w:eastAsia="MS Mincho"/>
          <w:i/>
          <w:lang w:eastAsia="ja-JP"/>
        </w:rPr>
        <w:t>DL active BWP</w:t>
      </w:r>
      <w:r w:rsidR="00265276">
        <w:rPr>
          <w:rFonts w:eastAsia="MS Mincho"/>
          <w:i/>
          <w:lang w:eastAsia="ja-JP"/>
        </w:rPr>
        <w:t>s</w:t>
      </w:r>
      <w:r w:rsidR="0064373B" w:rsidRPr="00470890">
        <w:rPr>
          <w:rFonts w:eastAsia="MS Mincho"/>
          <w:i/>
          <w:lang w:eastAsia="ja-JP"/>
        </w:rPr>
        <w:t xml:space="preserve"> of cells with the same </w:t>
      </w:r>
      <w:r w:rsidR="0064373B" w:rsidRPr="00470890">
        <w:rPr>
          <w:i/>
        </w:rPr>
        <w:t>numerology</w:t>
      </w:r>
      <w:r>
        <w:rPr>
          <w:i/>
        </w:rPr>
        <w:t xml:space="preserve"> and without CBG-based (re)transmissions</w:t>
      </w:r>
      <w:r w:rsidR="0064373B" w:rsidRPr="00470890">
        <w:rPr>
          <w:i/>
        </w:rPr>
        <w:t xml:space="preserve">, </w:t>
      </w:r>
      <w:r w:rsidR="0064373B" w:rsidRPr="00470890">
        <w:rPr>
          <w:rFonts w:eastAsia="MS Mincho"/>
          <w:i/>
          <w:lang w:eastAsia="ja-JP"/>
        </w:rPr>
        <w:t xml:space="preserve">frequency-first–time-second </w:t>
      </w:r>
      <w:r w:rsidR="0064373B" w:rsidRPr="00470890">
        <w:rPr>
          <w:i/>
        </w:rPr>
        <w:t>counter DAI and total DAI mecha</w:t>
      </w:r>
      <w:r w:rsidR="00470890" w:rsidRPr="00470890">
        <w:rPr>
          <w:i/>
        </w:rPr>
        <w:t>nism</w:t>
      </w:r>
      <w:r>
        <w:rPr>
          <w:i/>
        </w:rPr>
        <w:t xml:space="preserve"> is</w:t>
      </w:r>
      <w:r w:rsidR="00470890" w:rsidRPr="00470890">
        <w:rPr>
          <w:i/>
        </w:rPr>
        <w:t xml:space="preserve"> used in the HARQ-</w:t>
      </w:r>
      <w:r w:rsidR="0064373B" w:rsidRPr="00470890">
        <w:rPr>
          <w:i/>
        </w:rPr>
        <w:t>ACK codebook determination.</w:t>
      </w:r>
    </w:p>
    <w:p w14:paraId="64DC0D3B" w14:textId="401B9ED2" w:rsidR="001C182D" w:rsidRPr="003019FF" w:rsidRDefault="001C182D" w:rsidP="001C182D">
      <w:pPr>
        <w:pStyle w:val="Heading2"/>
      </w:pPr>
      <w:r>
        <w:t xml:space="preserve">3.3 HARQ feedback </w:t>
      </w:r>
      <w:r w:rsidR="00595799">
        <w:t>with CBG-based (re)transmission</w:t>
      </w:r>
      <w:r>
        <w:t xml:space="preserve"> </w:t>
      </w:r>
    </w:p>
    <w:p w14:paraId="26725749" w14:textId="634B675B" w:rsidR="00A60212" w:rsidRDefault="00A60212" w:rsidP="00A60212">
      <w:pPr>
        <w:spacing w:after="120"/>
        <w:jc w:val="both"/>
        <w:rPr>
          <w:rFonts w:eastAsia="MS Mincho"/>
          <w:lang w:val="en-US" w:eastAsia="ja-JP"/>
        </w:rPr>
      </w:pPr>
      <w:r>
        <w:t xml:space="preserve">In this section, </w:t>
      </w:r>
      <w:r>
        <w:rPr>
          <w:lang w:val="en-US"/>
        </w:rPr>
        <w:t>we focus on the discussion of HARQ ACK feedback for CBG-based (re-)transmission</w:t>
      </w:r>
      <w:r>
        <w:t xml:space="preserve">. In RAN1#90bis, it was agreed to support </w:t>
      </w:r>
      <w:r w:rsidRPr="00A60212">
        <w:rPr>
          <w:i/>
        </w:rPr>
        <w:t>dynamic HARQ-ACK codebook (per PUCCH group) with CBG configuration at least for one serving cell</w:t>
      </w:r>
      <w:r w:rsidRPr="00A60212">
        <w:t xml:space="preserve"> </w:t>
      </w:r>
      <w:r>
        <w:t xml:space="preserve">in carrier aggregation. The agreement is motivated by the fact that </w:t>
      </w:r>
      <w:r>
        <w:rPr>
          <w:lang w:val="en-US"/>
        </w:rPr>
        <w:t xml:space="preserve">dynamic HARQ ACK </w:t>
      </w:r>
      <w:r>
        <w:rPr>
          <w:rFonts w:eastAsia="MS Mincho"/>
          <w:lang w:val="en-US" w:eastAsia="ja-JP"/>
        </w:rPr>
        <w:t xml:space="preserve">codebook adaptation can provide substantial gains with GBG-based transmissions due to considerable number of CBG HARQ ACKs per PDSCH. </w:t>
      </w:r>
      <w:r w:rsidR="00C93208">
        <w:rPr>
          <w:rFonts w:eastAsia="MS Mincho"/>
          <w:lang w:val="en-US" w:eastAsia="ja-JP"/>
        </w:rPr>
        <w:t xml:space="preserve">The exact codebook adaptation mechanism needs to be agreed. </w:t>
      </w:r>
    </w:p>
    <w:p w14:paraId="4383201E" w14:textId="05D32B35" w:rsidR="00A60212" w:rsidRPr="00CB421E" w:rsidRDefault="00522AF3" w:rsidP="007A13E7">
      <w:pPr>
        <w:spacing w:after="120"/>
        <w:jc w:val="both"/>
        <w:rPr>
          <w:rFonts w:eastAsia="MS Mincho"/>
          <w:i/>
          <w:sz w:val="18"/>
          <w:szCs w:val="24"/>
          <w:lang w:val="en-US" w:eastAsia="ja-JP"/>
        </w:rPr>
      </w:pPr>
      <w:r>
        <w:t>In RAN1#90bis, the following agreement was also reached:</w:t>
      </w:r>
    </w:p>
    <w:p w14:paraId="3BA4F457" w14:textId="0ED5F0D8" w:rsidR="00313B7A" w:rsidRPr="00754993" w:rsidRDefault="00313B7A" w:rsidP="00754993">
      <w:pPr>
        <w:spacing w:after="120"/>
        <w:rPr>
          <w:b/>
          <w:i/>
          <w:sz w:val="18"/>
          <w:lang w:eastAsia="x-none"/>
        </w:rPr>
      </w:pPr>
      <w:r w:rsidRPr="00754993">
        <w:rPr>
          <w:i/>
          <w:sz w:val="18"/>
          <w:highlight w:val="green"/>
          <w:lang w:eastAsia="x-none"/>
        </w:rPr>
        <w:t>Agreements</w:t>
      </w:r>
      <w:r w:rsidRPr="00754993">
        <w:rPr>
          <w:b/>
          <w:i/>
          <w:sz w:val="18"/>
          <w:lang w:eastAsia="x-none"/>
        </w:rPr>
        <w:t>:</w:t>
      </w:r>
      <w:r>
        <w:rPr>
          <w:b/>
          <w:i/>
          <w:sz w:val="18"/>
          <w:lang w:eastAsia="x-none"/>
        </w:rPr>
        <w:t xml:space="preserve"> </w:t>
      </w:r>
      <w:r w:rsidRPr="00754993">
        <w:rPr>
          <w:bCs/>
          <w:i/>
          <w:sz w:val="18"/>
          <w:lang w:eastAsia="x-none"/>
        </w:rPr>
        <w:t>When UE is configured with CBG based retransmission, for the PDSCH scheduled by PDCCH using fallback DCI, TB level HARQ-ACK feedback is used at least for the case without HARQ-ACK multiplexing</w:t>
      </w:r>
    </w:p>
    <w:p w14:paraId="423E9096" w14:textId="77777777" w:rsidR="00313B7A" w:rsidRPr="00754993" w:rsidRDefault="00313B7A" w:rsidP="00313B7A">
      <w:pPr>
        <w:numPr>
          <w:ilvl w:val="1"/>
          <w:numId w:val="57"/>
        </w:numPr>
        <w:overflowPunct/>
        <w:autoSpaceDE/>
        <w:autoSpaceDN/>
        <w:adjustRightInd/>
        <w:spacing w:after="0"/>
        <w:textAlignment w:val="auto"/>
        <w:rPr>
          <w:i/>
          <w:sz w:val="18"/>
          <w:lang w:val="en-US" w:eastAsia="x-none"/>
        </w:rPr>
      </w:pPr>
      <w:r w:rsidRPr="00754993">
        <w:rPr>
          <w:bCs/>
          <w:i/>
          <w:sz w:val="18"/>
          <w:lang w:val="en-US" w:eastAsia="x-none"/>
        </w:rPr>
        <w:t>FFS whether this operation is applied even for the case with HARQ-ACK multiplexing</w:t>
      </w:r>
    </w:p>
    <w:p w14:paraId="23D0535D" w14:textId="170AA9DE" w:rsidR="00313B7A" w:rsidRPr="00754993" w:rsidRDefault="00313B7A" w:rsidP="00754993">
      <w:pPr>
        <w:spacing w:after="120"/>
        <w:ind w:left="1134" w:firstLine="284"/>
        <w:rPr>
          <w:bCs/>
          <w:iCs/>
        </w:rPr>
      </w:pPr>
      <w:r w:rsidRPr="00754993">
        <w:rPr>
          <w:bCs/>
          <w:i/>
          <w:sz w:val="18"/>
          <w:lang w:val="en-US" w:eastAsia="x-none"/>
        </w:rPr>
        <w:t>Note: this means that fallback DCI does not support CBG level HARQ-ACK feedback</w:t>
      </w:r>
    </w:p>
    <w:p w14:paraId="32CF9DCF" w14:textId="3F5DB82D" w:rsidR="0064373B" w:rsidRDefault="0064373B" w:rsidP="0064373B">
      <w:pPr>
        <w:spacing w:after="0"/>
        <w:jc w:val="both"/>
        <w:rPr>
          <w:rFonts w:eastAsia="MS Mincho"/>
          <w:lang w:val="en-US" w:eastAsia="ja-JP"/>
        </w:rPr>
      </w:pPr>
      <w:r>
        <w:rPr>
          <w:rFonts w:eastAsia="MS Mincho"/>
          <w:lang w:val="en-US" w:eastAsia="ja-JP"/>
        </w:rPr>
        <w:t>With dynamic codebook determination, mechanisms are necessary to handle error cases when one or more DL assignments are not successfu</w:t>
      </w:r>
      <w:r w:rsidR="00522AF3">
        <w:rPr>
          <w:rFonts w:eastAsia="MS Mincho"/>
          <w:lang w:val="en-US" w:eastAsia="ja-JP"/>
        </w:rPr>
        <w:t xml:space="preserve">lly received. DAI is a </w:t>
      </w:r>
      <w:r w:rsidR="003043FB">
        <w:rPr>
          <w:rFonts w:eastAsia="MS Mincho"/>
          <w:lang w:val="en-US" w:eastAsia="ja-JP"/>
        </w:rPr>
        <w:t>robust mechanism</w:t>
      </w:r>
      <w:r>
        <w:rPr>
          <w:rFonts w:eastAsia="MS Mincho"/>
          <w:lang w:val="en-US" w:eastAsia="ja-JP"/>
        </w:rPr>
        <w:t xml:space="preserve"> for error case handling. A challenge is faced when the number of HARQ ACK bits per PDSCH is variable, as UE detects that a DL assignment was missed but cannot determine how many ACK bits should be reported for the missed </w:t>
      </w:r>
      <w:r w:rsidR="005B6F17">
        <w:rPr>
          <w:rFonts w:eastAsia="MS Mincho"/>
          <w:lang w:val="en-US" w:eastAsia="ja-JP"/>
        </w:rPr>
        <w:t>PDSCH as illustrated in Figure 2</w:t>
      </w:r>
      <w:r>
        <w:rPr>
          <w:rFonts w:eastAsia="MS Mincho"/>
          <w:lang w:val="en-US" w:eastAsia="ja-JP"/>
        </w:rPr>
        <w:t xml:space="preserve">. The problem can be solved several ways, e.g.:  </w:t>
      </w:r>
    </w:p>
    <w:p w14:paraId="61E5E2DE" w14:textId="77777777" w:rsidR="0064373B" w:rsidRPr="0057520F" w:rsidRDefault="0064373B" w:rsidP="0064373B">
      <w:pPr>
        <w:pStyle w:val="ListParagraph"/>
        <w:numPr>
          <w:ilvl w:val="0"/>
          <w:numId w:val="62"/>
        </w:numPr>
        <w:spacing w:after="120"/>
        <w:jc w:val="both"/>
        <w:rPr>
          <w:rFonts w:eastAsia="MS Mincho"/>
          <w:sz w:val="20"/>
          <w:lang w:val="en-US" w:eastAsia="ja-JP"/>
        </w:rPr>
      </w:pPr>
      <w:r w:rsidRPr="0057520F">
        <w:rPr>
          <w:rFonts w:eastAsia="MS Mincho"/>
          <w:sz w:val="20"/>
          <w:lang w:val="en-US" w:eastAsia="ja-JP"/>
        </w:rPr>
        <w:lastRenderedPageBreak/>
        <w:t xml:space="preserve">One solution is to report maximum number fo ACK bits for </w:t>
      </w:r>
      <w:r w:rsidRPr="0057520F">
        <w:rPr>
          <w:rFonts w:eastAsia="MS Mincho"/>
          <w:sz w:val="20"/>
          <w:u w:val="single"/>
          <w:lang w:val="en-US" w:eastAsia="ja-JP"/>
        </w:rPr>
        <w:t>all</w:t>
      </w:r>
      <w:r w:rsidRPr="0057520F">
        <w:rPr>
          <w:rFonts w:eastAsia="MS Mincho"/>
          <w:sz w:val="20"/>
          <w:lang w:val="en-US" w:eastAsia="ja-JP"/>
        </w:rPr>
        <w:t xml:space="preserve"> PDSCHs, but this leads to excessively large ACK codebook in the case of CBG based transmission. </w:t>
      </w:r>
    </w:p>
    <w:p w14:paraId="4B3D423A" w14:textId="120E15DF" w:rsidR="0064373B" w:rsidRPr="001B15FC" w:rsidRDefault="0064373B" w:rsidP="0064373B">
      <w:pPr>
        <w:pStyle w:val="ListParagraph"/>
        <w:numPr>
          <w:ilvl w:val="0"/>
          <w:numId w:val="62"/>
        </w:numPr>
        <w:spacing w:after="120"/>
        <w:jc w:val="both"/>
        <w:rPr>
          <w:rFonts w:eastAsia="MS Mincho"/>
          <w:sz w:val="20"/>
          <w:lang w:val="en-US" w:eastAsia="ja-JP"/>
        </w:rPr>
      </w:pPr>
      <w:r w:rsidRPr="0057520F">
        <w:rPr>
          <w:rFonts w:eastAsia="MS Mincho"/>
          <w:sz w:val="20"/>
          <w:lang w:val="en-US" w:eastAsia="ja-JP"/>
        </w:rPr>
        <w:t>Another solution is to increase the range of DAI to avoid ambiguity, and increment DAI per reported ACK bit, not per DL assig</w:t>
      </w:r>
      <w:r w:rsidR="003043FB">
        <w:rPr>
          <w:rFonts w:eastAsia="MS Mincho"/>
          <w:sz w:val="20"/>
          <w:lang w:val="en-US" w:eastAsia="ja-JP"/>
        </w:rPr>
        <w:t xml:space="preserve">nment. </w:t>
      </w:r>
      <w:r>
        <w:rPr>
          <w:rFonts w:eastAsia="MS Mincho"/>
          <w:sz w:val="20"/>
          <w:lang w:val="en-US" w:eastAsia="ja-JP"/>
        </w:rPr>
        <w:t>For example, assuming 6</w:t>
      </w:r>
      <w:r w:rsidRPr="0057520F">
        <w:rPr>
          <w:rFonts w:eastAsia="MS Mincho"/>
          <w:sz w:val="20"/>
          <w:lang w:val="en-US" w:eastAsia="ja-JP"/>
        </w:rPr>
        <w:t xml:space="preserve"> CBGs are configured, the number of </w:t>
      </w:r>
      <w:r>
        <w:rPr>
          <w:rFonts w:eastAsia="MS Mincho"/>
          <w:sz w:val="20"/>
          <w:lang w:val="en-US" w:eastAsia="ja-JP"/>
        </w:rPr>
        <w:t>HARQ ACK</w:t>
      </w:r>
      <w:r w:rsidRPr="0057520F">
        <w:rPr>
          <w:rFonts w:eastAsia="MS Mincho"/>
          <w:sz w:val="20"/>
          <w:lang w:val="en-US" w:eastAsia="ja-JP"/>
        </w:rPr>
        <w:t xml:space="preserve"> feedback bits per T</w:t>
      </w:r>
      <w:r>
        <w:rPr>
          <w:rFonts w:eastAsia="MS Mincho"/>
          <w:sz w:val="20"/>
          <w:lang w:val="en-US" w:eastAsia="ja-JP"/>
        </w:rPr>
        <w:t>B can vary from 1 to 6</w:t>
      </w:r>
      <w:r w:rsidRPr="0057520F">
        <w:rPr>
          <w:rFonts w:eastAsia="MS Mincho"/>
          <w:sz w:val="20"/>
          <w:lang w:val="en-US" w:eastAsia="ja-JP"/>
        </w:rPr>
        <w:t xml:space="preserve"> bits. Assuming DAI is designed to handle up to 2 back-to-back missing DL assignments, the number of states</w:t>
      </w:r>
      <w:r>
        <w:rPr>
          <w:rFonts w:eastAsia="MS Mincho"/>
          <w:sz w:val="20"/>
          <w:lang w:val="en-US" w:eastAsia="ja-JP"/>
        </w:rPr>
        <w:t xml:space="preserve"> that DAI needs to support is 6*(2+1) = 18</w:t>
      </w:r>
      <w:r w:rsidRPr="0057520F">
        <w:rPr>
          <w:rFonts w:eastAsia="MS Mincho"/>
          <w:sz w:val="20"/>
          <w:lang w:val="en-US" w:eastAsia="ja-JP"/>
        </w:rPr>
        <w:t xml:space="preserve"> states, i.e. 5 bits.</w:t>
      </w:r>
      <w:r w:rsidR="003043FB">
        <w:rPr>
          <w:rFonts w:eastAsia="MS Mincho"/>
          <w:sz w:val="20"/>
          <w:lang w:val="en-US" w:eastAsia="ja-JP"/>
        </w:rPr>
        <w:t xml:space="preserve"> We refer to this as </w:t>
      </w:r>
      <w:r w:rsidR="003043FB" w:rsidRPr="003043FB">
        <w:rPr>
          <w:rFonts w:eastAsia="MS Mincho"/>
          <w:i/>
          <w:sz w:val="20"/>
          <w:lang w:val="en-US" w:eastAsia="ja-JP"/>
        </w:rPr>
        <w:t>extended DAI</w:t>
      </w:r>
      <w:r w:rsidR="003043FB">
        <w:rPr>
          <w:rFonts w:eastAsia="MS Mincho"/>
          <w:sz w:val="20"/>
          <w:lang w:val="en-US" w:eastAsia="ja-JP"/>
        </w:rPr>
        <w:t xml:space="preserve"> in the following.</w:t>
      </w:r>
      <w:r w:rsidRPr="0057520F">
        <w:rPr>
          <w:rFonts w:eastAsia="MS Mincho"/>
          <w:sz w:val="20"/>
          <w:lang w:val="en-US" w:eastAsia="ja-JP"/>
        </w:rPr>
        <w:t xml:space="preserve"> On the other hand, </w:t>
      </w:r>
      <w:r w:rsidRPr="00BD58FA">
        <w:rPr>
          <w:rFonts w:eastAsia="MS Mincho"/>
          <w:sz w:val="20"/>
          <w:lang w:val="en-US" w:eastAsia="ja-JP"/>
        </w:rPr>
        <w:t>if we assume fixed HARQ ACK feedback bits per TB, DAI only needs to support 3 states, i.e. 2 bits, which saves 3 bits in DCI. If we consider both counter DAI and total DAI, the saving would be doubled.</w:t>
      </w:r>
      <w:r w:rsidR="00C93208" w:rsidRPr="00BD58FA">
        <w:rPr>
          <w:rFonts w:eastAsia="MS Mincho"/>
          <w:sz w:val="20"/>
          <w:lang w:val="en-US" w:eastAsia="ja-JP"/>
        </w:rPr>
        <w:t xml:space="preserve"> </w:t>
      </w:r>
    </w:p>
    <w:p w14:paraId="60B8DE00" w14:textId="767B53C2" w:rsidR="008D7EAB" w:rsidRPr="00CD5E97" w:rsidRDefault="006107C9" w:rsidP="0064373B">
      <w:pPr>
        <w:pStyle w:val="ListParagraph"/>
        <w:numPr>
          <w:ilvl w:val="0"/>
          <w:numId w:val="62"/>
        </w:numPr>
        <w:spacing w:after="120"/>
        <w:jc w:val="both"/>
        <w:rPr>
          <w:rFonts w:eastAsia="MS Mincho"/>
          <w:sz w:val="20"/>
          <w:lang w:val="en-US" w:eastAsia="ja-JP"/>
        </w:rPr>
      </w:pPr>
      <w:r w:rsidRPr="001B15FC">
        <w:rPr>
          <w:rFonts w:eastAsia="MS Mincho"/>
          <w:sz w:val="20"/>
          <w:lang w:val="en-US" w:eastAsia="ja-JP"/>
        </w:rPr>
        <w:t>On a</w:t>
      </w:r>
      <w:r w:rsidR="008D7EAB" w:rsidRPr="001B15FC">
        <w:rPr>
          <w:rFonts w:eastAsia="MS Mincho"/>
          <w:sz w:val="20"/>
          <w:lang w:val="en-US" w:eastAsia="ja-JP"/>
        </w:rPr>
        <w:t xml:space="preserve"> third solution, </w:t>
      </w:r>
      <w:r w:rsidRPr="001B15FC">
        <w:rPr>
          <w:rFonts w:eastAsia="MS Mincho"/>
          <w:sz w:val="20"/>
          <w:lang w:val="en-US" w:eastAsia="ja-JP"/>
        </w:rPr>
        <w:t>considered</w:t>
      </w:r>
      <w:r w:rsidR="008D7EAB" w:rsidRPr="001B15FC">
        <w:rPr>
          <w:rFonts w:eastAsia="MS Mincho"/>
          <w:sz w:val="20"/>
          <w:lang w:val="en-US" w:eastAsia="ja-JP"/>
        </w:rPr>
        <w:t xml:space="preserve"> </w:t>
      </w:r>
      <w:r w:rsidR="00D10F3E" w:rsidRPr="00754993">
        <w:rPr>
          <w:rFonts w:eastAsia="MS Mincho"/>
          <w:sz w:val="20"/>
          <w:lang w:val="en-US" w:eastAsia="ja-JP"/>
        </w:rPr>
        <w:t>in [</w:t>
      </w:r>
      <w:r w:rsidR="001A0C1F" w:rsidRPr="00754993">
        <w:rPr>
          <w:rFonts w:eastAsia="MS Mincho"/>
          <w:sz w:val="20"/>
          <w:lang w:val="en-US" w:eastAsia="ja-JP"/>
        </w:rPr>
        <w:t>4</w:t>
      </w:r>
      <w:r w:rsidR="00D10F3E" w:rsidRPr="00754993">
        <w:rPr>
          <w:rFonts w:eastAsia="MS Mincho"/>
          <w:sz w:val="20"/>
          <w:lang w:val="en-US" w:eastAsia="ja-JP"/>
        </w:rPr>
        <w:t>]</w:t>
      </w:r>
      <w:r w:rsidRPr="00754993">
        <w:rPr>
          <w:rFonts w:eastAsia="MS Mincho"/>
          <w:sz w:val="20"/>
          <w:lang w:val="en-US" w:eastAsia="ja-JP"/>
        </w:rPr>
        <w:t>,</w:t>
      </w:r>
      <w:r w:rsidR="00CD5E97" w:rsidRPr="00754993">
        <w:rPr>
          <w:rFonts w:eastAsia="MS Mincho"/>
          <w:sz w:val="20"/>
          <w:lang w:val="en-US" w:eastAsia="ja-JP"/>
        </w:rPr>
        <w:t xml:space="preserve"> codebook remains semi-static in frequency domain, but is adapted in time domain with the use of time-domain DAI mechanism. It should be noted that even single scheduled TB-based PDSCH can result in considerable HARQ feedback (depending on the CBG configuration and number of configured cells). HARQ-ACK cannot be reported by using PUCCH format 0 or 1, but a larger PUCCH format is always required. Further, HARQ-ACK for PDSCH scheduled with a </w:t>
      </w:r>
      <w:r w:rsidR="00D10F3E" w:rsidRPr="00754993">
        <w:rPr>
          <w:rFonts w:eastAsia="MS Mincho"/>
          <w:sz w:val="20"/>
          <w:lang w:val="en-US" w:eastAsia="ja-JP"/>
        </w:rPr>
        <w:t>fallback</w:t>
      </w:r>
      <w:r w:rsidR="00CD5E97" w:rsidRPr="00754993">
        <w:rPr>
          <w:rFonts w:eastAsia="MS Mincho"/>
          <w:sz w:val="20"/>
          <w:lang w:val="en-US" w:eastAsia="ja-JP"/>
        </w:rPr>
        <w:t xml:space="preserve"> DCI cannot be easily multiplexed</w:t>
      </w:r>
      <w:r w:rsidR="00CD5E97">
        <w:rPr>
          <w:rFonts w:eastAsia="MS Mincho"/>
          <w:sz w:val="20"/>
          <w:lang w:val="en-US" w:eastAsia="ja-JP"/>
        </w:rPr>
        <w:t xml:space="preserve"> with other HARQ-ACKs</w:t>
      </w:r>
      <w:r w:rsidR="00CD5E97" w:rsidRPr="00754993">
        <w:rPr>
          <w:rFonts w:eastAsia="MS Mincho"/>
          <w:sz w:val="20"/>
          <w:lang w:val="en-US" w:eastAsia="ja-JP"/>
        </w:rPr>
        <w:t>.</w:t>
      </w:r>
      <w:r w:rsidR="003B0AB3">
        <w:rPr>
          <w:rFonts w:eastAsia="MS Mincho"/>
          <w:sz w:val="20"/>
          <w:lang w:val="en-US" w:eastAsia="ja-JP"/>
        </w:rPr>
        <w:t xml:space="preserve"> This scheme is refered to as “codebook semi-static in frequency, dynamic in time” on Table 1.</w:t>
      </w:r>
    </w:p>
    <w:p w14:paraId="08229446" w14:textId="3D898B7C" w:rsidR="0064373B" w:rsidRDefault="003043FB" w:rsidP="0064373B">
      <w:pPr>
        <w:pStyle w:val="ListParagraph"/>
        <w:numPr>
          <w:ilvl w:val="0"/>
          <w:numId w:val="62"/>
        </w:numPr>
        <w:spacing w:after="120"/>
        <w:jc w:val="both"/>
        <w:rPr>
          <w:rFonts w:eastAsia="MS Mincho"/>
          <w:sz w:val="20"/>
          <w:lang w:val="en-US" w:eastAsia="ja-JP"/>
        </w:rPr>
      </w:pPr>
      <w:r w:rsidRPr="00CD5E97">
        <w:rPr>
          <w:rFonts w:eastAsia="MS Mincho"/>
          <w:sz w:val="20"/>
          <w:lang w:val="en-US" w:eastAsia="ja-JP"/>
        </w:rPr>
        <w:t>A fourth</w:t>
      </w:r>
      <w:r w:rsidR="0064373B" w:rsidRPr="00CD5E97">
        <w:rPr>
          <w:rFonts w:eastAsia="MS Mincho"/>
          <w:sz w:val="20"/>
          <w:lang w:val="en-US" w:eastAsia="ja-JP"/>
        </w:rPr>
        <w:t>, promising, approach is to apply separate DAI</w:t>
      </w:r>
      <w:r w:rsidR="0064373B" w:rsidRPr="0057520F">
        <w:rPr>
          <w:rFonts w:eastAsia="MS Mincho"/>
          <w:sz w:val="20"/>
          <w:lang w:val="en-US" w:eastAsia="ja-JP"/>
        </w:rPr>
        <w:t xml:space="preserve"> processes for TB based transmissions a</w:t>
      </w:r>
      <w:r w:rsidR="0064373B">
        <w:rPr>
          <w:rFonts w:eastAsia="MS Mincho"/>
          <w:sz w:val="20"/>
          <w:lang w:val="en-US" w:eastAsia="ja-JP"/>
        </w:rPr>
        <w:t>nd CBG based transmissions, determining HARQ ACK sub-codebooks separately for TB based transmissions and CBG based transmissions and concatenating sub-codebooks for a joint transmission</w:t>
      </w:r>
      <w:r w:rsidR="0064373B" w:rsidRPr="00F952E5">
        <w:rPr>
          <w:rFonts w:eastAsia="MS Mincho"/>
          <w:sz w:val="20"/>
          <w:lang w:val="en-US" w:eastAsia="ja-JP"/>
        </w:rPr>
        <w:t xml:space="preserve">. </w:t>
      </w:r>
      <w:r>
        <w:rPr>
          <w:rFonts w:eastAsia="MS Mincho"/>
          <w:sz w:val="20"/>
          <w:lang w:val="en-US" w:eastAsia="ja-JP"/>
        </w:rPr>
        <w:t>T</w:t>
      </w:r>
      <w:r w:rsidR="0064373B" w:rsidRPr="00053BF6">
        <w:rPr>
          <w:rFonts w:eastAsia="MS Mincho"/>
          <w:sz w:val="20"/>
          <w:lang w:val="en-US" w:eastAsia="ja-JP"/>
        </w:rPr>
        <w:t xml:space="preserve">he number of </w:t>
      </w:r>
      <w:r>
        <w:rPr>
          <w:rFonts w:eastAsia="MS Mincho"/>
          <w:sz w:val="20"/>
          <w:lang w:val="en-US" w:eastAsia="ja-JP"/>
        </w:rPr>
        <w:t xml:space="preserve">reported </w:t>
      </w:r>
      <w:r w:rsidR="0064373B" w:rsidRPr="00053BF6">
        <w:rPr>
          <w:rFonts w:eastAsia="MS Mincho"/>
          <w:sz w:val="20"/>
          <w:lang w:val="en-US" w:eastAsia="ja-JP"/>
        </w:rPr>
        <w:t>CBG HARQ ACK bits per TB</w:t>
      </w:r>
      <w:r w:rsidR="0064373B">
        <w:rPr>
          <w:rFonts w:eastAsia="MS Mincho"/>
          <w:sz w:val="20"/>
          <w:lang w:val="en-US" w:eastAsia="ja-JP"/>
        </w:rPr>
        <w:t xml:space="preserve"> remains fixed.</w:t>
      </w:r>
    </w:p>
    <w:p w14:paraId="319EF5CE" w14:textId="77777777" w:rsidR="0064373B" w:rsidRDefault="0064373B" w:rsidP="0064373B">
      <w:pPr>
        <w:pStyle w:val="ListParagraph"/>
        <w:numPr>
          <w:ilvl w:val="1"/>
          <w:numId w:val="62"/>
        </w:numPr>
        <w:spacing w:after="120"/>
        <w:jc w:val="both"/>
        <w:rPr>
          <w:rFonts w:eastAsia="MS Mincho"/>
          <w:sz w:val="20"/>
          <w:lang w:val="en-US" w:eastAsia="ja-JP"/>
        </w:rPr>
      </w:pPr>
      <w:r>
        <w:rPr>
          <w:rFonts w:eastAsia="MS Mincho"/>
          <w:sz w:val="20"/>
          <w:lang w:val="en-US" w:eastAsia="ja-JP"/>
        </w:rPr>
        <w:t xml:space="preserve">In the approach, </w:t>
      </w:r>
      <w:r w:rsidRPr="0014096C">
        <w:rPr>
          <w:rFonts w:eastAsia="MS Mincho"/>
          <w:sz w:val="20"/>
          <w:lang w:val="en-US" w:eastAsia="ja-JP"/>
        </w:rPr>
        <w:t>separate DAI processes</w:t>
      </w:r>
      <w:r>
        <w:rPr>
          <w:rFonts w:eastAsia="MS Mincho"/>
          <w:sz w:val="20"/>
          <w:lang w:val="en-US" w:eastAsia="ja-JP"/>
        </w:rPr>
        <w:t xml:space="preserve"> (counter DAI, total DAI)</w:t>
      </w:r>
      <w:r w:rsidRPr="0014096C">
        <w:rPr>
          <w:rFonts w:eastAsia="MS Mincho"/>
          <w:sz w:val="20"/>
          <w:lang w:val="en-US" w:eastAsia="ja-JP"/>
        </w:rPr>
        <w:t xml:space="preserve"> are used to determine HARQ-ACK sub-codebooks separately</w:t>
      </w:r>
      <w:r>
        <w:rPr>
          <w:rFonts w:eastAsia="MS Mincho"/>
          <w:sz w:val="20"/>
          <w:lang w:val="en-US" w:eastAsia="ja-JP"/>
        </w:rPr>
        <w:t xml:space="preserve"> for TB based and CBG based transmissions.</w:t>
      </w:r>
    </w:p>
    <w:p w14:paraId="3A48B867" w14:textId="77777777" w:rsidR="0064373B" w:rsidRPr="0014096C" w:rsidRDefault="0064373B" w:rsidP="0064373B">
      <w:pPr>
        <w:pStyle w:val="ListParagraph"/>
        <w:numPr>
          <w:ilvl w:val="1"/>
          <w:numId w:val="62"/>
        </w:numPr>
        <w:spacing w:after="120"/>
        <w:jc w:val="both"/>
        <w:rPr>
          <w:rFonts w:eastAsia="MS Mincho"/>
          <w:sz w:val="20"/>
          <w:lang w:val="en-US" w:eastAsia="ja-JP"/>
        </w:rPr>
      </w:pPr>
      <w:r>
        <w:rPr>
          <w:rFonts w:eastAsia="MS Mincho"/>
          <w:sz w:val="20"/>
          <w:lang w:val="en-US" w:eastAsia="ja-JP"/>
        </w:rPr>
        <w:t>S</w:t>
      </w:r>
      <w:r w:rsidRPr="0014096C">
        <w:rPr>
          <w:rFonts w:eastAsia="MS Mincho"/>
          <w:sz w:val="20"/>
          <w:lang w:val="en-US" w:eastAsia="ja-JP"/>
        </w:rPr>
        <w:t>pecial attention is needed to the error case that can occur when there is only one scheduled PDSCH associated to a (e.</w:t>
      </w:r>
      <w:r>
        <w:rPr>
          <w:rFonts w:eastAsia="MS Mincho"/>
          <w:sz w:val="20"/>
          <w:lang w:val="en-US" w:eastAsia="ja-JP"/>
        </w:rPr>
        <w:t xml:space="preserve">g. CBG) ACK </w:t>
      </w:r>
      <w:r w:rsidRPr="0014096C">
        <w:rPr>
          <w:rFonts w:eastAsia="MS Mincho"/>
          <w:sz w:val="20"/>
          <w:lang w:val="en-US" w:eastAsia="ja-JP"/>
        </w:rPr>
        <w:t>sub-codebook. If UE misses that DL assignment, UE will not include the corresponding sub-codebook at all, leading to errone</w:t>
      </w:r>
      <w:r>
        <w:rPr>
          <w:rFonts w:eastAsia="MS Mincho"/>
          <w:sz w:val="20"/>
          <w:lang w:val="en-US" w:eastAsia="ja-JP"/>
        </w:rPr>
        <w:t xml:space="preserve">ous </w:t>
      </w:r>
      <w:r w:rsidRPr="0014096C">
        <w:rPr>
          <w:rFonts w:eastAsia="MS Mincho"/>
          <w:sz w:val="20"/>
          <w:lang w:val="en-US" w:eastAsia="ja-JP"/>
        </w:rPr>
        <w:t>ACK o</w:t>
      </w:r>
      <w:r>
        <w:rPr>
          <w:rFonts w:eastAsia="MS Mincho"/>
          <w:sz w:val="20"/>
          <w:lang w:val="en-US" w:eastAsia="ja-JP"/>
        </w:rPr>
        <w:t xml:space="preserve">rdering in the overall </w:t>
      </w:r>
      <w:r w:rsidRPr="0014096C">
        <w:rPr>
          <w:rFonts w:eastAsia="MS Mincho"/>
          <w:sz w:val="20"/>
          <w:lang w:val="en-US" w:eastAsia="ja-JP"/>
        </w:rPr>
        <w:t xml:space="preserve">codebook. </w:t>
      </w:r>
    </w:p>
    <w:p w14:paraId="12D715B9" w14:textId="0957C3C3" w:rsidR="0064373B" w:rsidRPr="00CD5E97" w:rsidRDefault="0064373B" w:rsidP="0064373B">
      <w:pPr>
        <w:pStyle w:val="ListParagraph"/>
        <w:numPr>
          <w:ilvl w:val="1"/>
          <w:numId w:val="62"/>
        </w:numPr>
        <w:spacing w:after="120"/>
        <w:jc w:val="both"/>
        <w:rPr>
          <w:rFonts w:eastAsia="MS Mincho"/>
          <w:sz w:val="20"/>
          <w:lang w:val="en-US" w:eastAsia="ja-JP"/>
        </w:rPr>
      </w:pPr>
      <w:r w:rsidRPr="0014096C">
        <w:rPr>
          <w:rFonts w:eastAsia="MS Mincho"/>
          <w:sz w:val="20"/>
          <w:lang w:val="en-US" w:eastAsia="ja-JP"/>
        </w:rPr>
        <w:t>This error</w:t>
      </w:r>
      <w:r w:rsidR="003043FB">
        <w:rPr>
          <w:rFonts w:eastAsia="MS Mincho"/>
          <w:sz w:val="20"/>
          <w:lang w:val="en-US" w:eastAsia="ja-JP"/>
        </w:rPr>
        <w:t xml:space="preserve"> case can be simply solved </w:t>
      </w:r>
      <w:r w:rsidRPr="0014096C">
        <w:rPr>
          <w:rFonts w:eastAsia="MS Mincho"/>
          <w:sz w:val="20"/>
          <w:lang w:val="en-US" w:eastAsia="ja-JP"/>
        </w:rPr>
        <w:t xml:space="preserve">by </w:t>
      </w:r>
      <w:r>
        <w:rPr>
          <w:rFonts w:eastAsia="MS Mincho"/>
          <w:sz w:val="20"/>
          <w:lang w:val="en-US" w:eastAsia="ja-JP"/>
        </w:rPr>
        <w:t>adding o</w:t>
      </w:r>
      <w:r w:rsidRPr="0014096C">
        <w:rPr>
          <w:rFonts w:eastAsia="MS Mincho"/>
          <w:sz w:val="20"/>
          <w:lang w:val="en-US" w:eastAsia="ja-JP"/>
        </w:rPr>
        <w:t xml:space="preserve">ne bit on </w:t>
      </w:r>
      <w:r>
        <w:rPr>
          <w:rFonts w:eastAsia="MS Mincho"/>
          <w:sz w:val="20"/>
          <w:lang w:val="en-US" w:eastAsia="ja-JP"/>
        </w:rPr>
        <w:t xml:space="preserve">the TB based </w:t>
      </w:r>
      <w:r w:rsidRPr="0014096C">
        <w:rPr>
          <w:rFonts w:eastAsia="MS Mincho"/>
          <w:sz w:val="20"/>
          <w:lang w:val="en-US" w:eastAsia="ja-JP"/>
        </w:rPr>
        <w:t>PDSCH</w:t>
      </w:r>
      <w:r>
        <w:rPr>
          <w:rFonts w:eastAsia="MS Mincho"/>
          <w:sz w:val="20"/>
          <w:lang w:val="en-US" w:eastAsia="ja-JP"/>
        </w:rPr>
        <w:t xml:space="preserve"> DL assignment indicating</w:t>
      </w:r>
      <w:r w:rsidRPr="0014096C">
        <w:rPr>
          <w:rFonts w:eastAsia="MS Mincho"/>
          <w:sz w:val="20"/>
          <w:lang w:val="en-US" w:eastAsia="ja-JP"/>
        </w:rPr>
        <w:t xml:space="preserve"> </w:t>
      </w:r>
      <w:r w:rsidRPr="00CD5E97">
        <w:rPr>
          <w:rFonts w:eastAsia="MS Mincho"/>
          <w:sz w:val="20"/>
          <w:lang w:val="en-US" w:eastAsia="ja-JP"/>
        </w:rPr>
        <w:t xml:space="preserve">whether gNB may possibly schedule CBG-based PDSCH(s) with ACK reported on the same UL transmission. The indication does not need to based on actual / final scheduling decisions.    </w:t>
      </w:r>
    </w:p>
    <w:p w14:paraId="60690690" w14:textId="49CE3905" w:rsidR="0064373B" w:rsidRPr="00CD5E97" w:rsidRDefault="0064373B" w:rsidP="0064373B">
      <w:pPr>
        <w:pStyle w:val="ListParagraph"/>
        <w:numPr>
          <w:ilvl w:val="1"/>
          <w:numId w:val="62"/>
        </w:numPr>
        <w:spacing w:after="120"/>
        <w:jc w:val="both"/>
        <w:rPr>
          <w:rFonts w:eastAsia="MS Mincho"/>
          <w:sz w:val="20"/>
          <w:lang w:val="en-US" w:eastAsia="ja-JP"/>
        </w:rPr>
      </w:pPr>
      <w:r w:rsidRPr="00CD5E97">
        <w:rPr>
          <w:rFonts w:eastAsia="MS Mincho"/>
          <w:sz w:val="20"/>
          <w:lang w:val="en-US" w:eastAsia="ja-JP"/>
        </w:rPr>
        <w:t>If the bit indicates possible CBG-based transmissions, UE includes a CBG HARQ-ACK sub-codebook of at least minimum size (e.g. corresponding to 2 DL assignments) to the concatenated codebook – also when UE does not detect even single DL assignment for CBG-based transmissions.</w:t>
      </w:r>
    </w:p>
    <w:p w14:paraId="076E461E" w14:textId="74492A51" w:rsidR="008D7EAB" w:rsidRPr="00754993" w:rsidRDefault="00CD5E97" w:rsidP="008D7EAB">
      <w:pPr>
        <w:pStyle w:val="ListParagraph"/>
        <w:numPr>
          <w:ilvl w:val="1"/>
          <w:numId w:val="62"/>
        </w:numPr>
        <w:spacing w:after="240"/>
        <w:ind w:left="1434" w:hanging="357"/>
        <w:jc w:val="both"/>
        <w:rPr>
          <w:rFonts w:eastAsia="MS Mincho"/>
          <w:sz w:val="20"/>
          <w:lang w:val="en-US" w:eastAsia="ja-JP"/>
        </w:rPr>
      </w:pPr>
      <w:r w:rsidRPr="00754993">
        <w:rPr>
          <w:rFonts w:eastAsia="MS Mincho"/>
          <w:sz w:val="20"/>
          <w:lang w:val="en-US" w:eastAsia="ja-JP"/>
        </w:rPr>
        <w:t xml:space="preserve">The scheme is also flexible enough so that </w:t>
      </w:r>
      <w:r w:rsidRPr="00CD5E97">
        <w:rPr>
          <w:rFonts w:eastAsia="MS Mincho"/>
          <w:sz w:val="20"/>
          <w:lang w:val="en-US" w:eastAsia="ja-JP"/>
        </w:rPr>
        <w:t>HARQ-ACK for PDSCH scheduled with a fallback DCI (and TB-level HARQ ACK) can</w:t>
      </w:r>
      <w:r>
        <w:rPr>
          <w:rFonts w:eastAsia="MS Mincho"/>
          <w:sz w:val="20"/>
          <w:lang w:val="en-US" w:eastAsia="ja-JP"/>
        </w:rPr>
        <w:t xml:space="preserve"> be easily</w:t>
      </w:r>
      <w:r w:rsidRPr="00CD5E97">
        <w:rPr>
          <w:rFonts w:eastAsia="MS Mincho"/>
          <w:sz w:val="20"/>
          <w:lang w:val="en-US" w:eastAsia="ja-JP"/>
        </w:rPr>
        <w:t xml:space="preserve"> multiplexed with </w:t>
      </w:r>
      <w:r w:rsidRPr="00754993">
        <w:rPr>
          <w:rFonts w:eastAsia="MS Mincho"/>
          <w:sz w:val="20"/>
          <w:lang w:val="en-US" w:eastAsia="ja-JP"/>
        </w:rPr>
        <w:t>other HARQ-ACKs.</w:t>
      </w:r>
    </w:p>
    <w:p w14:paraId="0CD674C2" w14:textId="77777777" w:rsidR="0064373B" w:rsidRDefault="0064373B" w:rsidP="0064373B">
      <w:pPr>
        <w:jc w:val="center"/>
        <w:rPr>
          <w:i/>
        </w:rPr>
      </w:pPr>
      <w:r w:rsidRPr="00B40772">
        <w:rPr>
          <w:noProof/>
        </w:rPr>
        <w:drawing>
          <wp:inline distT="0" distB="0" distL="0" distR="0" wp14:anchorId="363A1DEA" wp14:editId="4B3B7710">
            <wp:extent cx="5792175" cy="1238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1377" cy="1240217"/>
                    </a:xfrm>
                    <a:prstGeom prst="rect">
                      <a:avLst/>
                    </a:prstGeom>
                    <a:noFill/>
                    <a:ln>
                      <a:noFill/>
                    </a:ln>
                  </pic:spPr>
                </pic:pic>
              </a:graphicData>
            </a:graphic>
          </wp:inline>
        </w:drawing>
      </w:r>
    </w:p>
    <w:p w14:paraId="1A49F784" w14:textId="13D8F507" w:rsidR="0064373B" w:rsidRPr="00053BF6" w:rsidRDefault="0064373B" w:rsidP="0064373B">
      <w:pPr>
        <w:pStyle w:val="Caption"/>
        <w:spacing w:after="240"/>
        <w:jc w:val="center"/>
        <w:rPr>
          <w:i/>
        </w:rPr>
      </w:pPr>
      <w:r>
        <w:t xml:space="preserve">Figure </w:t>
      </w:r>
      <w:r w:rsidR="005B6F17" w:rsidRPr="00E42EBB">
        <w:rPr>
          <w:lang w:val="en-US"/>
        </w:rPr>
        <w:t>2</w:t>
      </w:r>
      <w:r>
        <w:t>. HARQ ACK feedback ambiquity with single DAI process over TB and GBG based transmissions.</w:t>
      </w:r>
    </w:p>
    <w:p w14:paraId="3088809F" w14:textId="77777777" w:rsidR="00D14A15" w:rsidRPr="00D21268" w:rsidRDefault="000F05E1" w:rsidP="00754993">
      <w:pPr>
        <w:jc w:val="both"/>
        <w:rPr>
          <w:rFonts w:eastAsia="MS Mincho"/>
          <w:lang w:val="en-US" w:eastAsia="ja-JP"/>
        </w:rPr>
      </w:pPr>
      <w:r w:rsidRPr="00754993">
        <w:rPr>
          <w:rFonts w:eastAsia="MS Mincho"/>
          <w:lang w:val="en-US" w:eastAsia="ja-JP"/>
        </w:rPr>
        <w:t>We provide a comparison of proposals on Table 1.</w:t>
      </w:r>
      <w:r w:rsidR="00265276">
        <w:rPr>
          <w:rFonts w:eastAsia="MS Mincho"/>
          <w:lang w:val="en-US" w:eastAsia="ja-JP"/>
        </w:rPr>
        <w:t xml:space="preserve"> For the comparisons we assume that UE has 3 active BWPs on 3</w:t>
      </w:r>
      <w:r w:rsidR="00265276" w:rsidRPr="00265276">
        <w:rPr>
          <w:rFonts w:eastAsia="MS Mincho"/>
          <w:lang w:val="en-US" w:eastAsia="ja-JP"/>
        </w:rPr>
        <w:t xml:space="preserve"> </w:t>
      </w:r>
      <w:r w:rsidR="00265276">
        <w:rPr>
          <w:rFonts w:eastAsia="MS Mincho"/>
          <w:lang w:val="en-US" w:eastAsia="ja-JP"/>
        </w:rPr>
        <w:t xml:space="preserve">cells: TB-based retransmission is configured for one BWP while CBG-based retransmission with 6 CBGs is configured for 2 BWPs. On the table, we calculate the number of DCI bits (like DAI) required for dynamic HARQ-ACK codebook operation as well </w:t>
      </w:r>
      <w:r w:rsidR="00265276" w:rsidRPr="00D21268">
        <w:rPr>
          <w:rFonts w:eastAsia="MS Mincho"/>
          <w:lang w:val="en-US" w:eastAsia="ja-JP"/>
        </w:rPr>
        <w:t xml:space="preserve">as the number of reported HARQ-ACK bits. The DCI and UCI bits are calculated for 3 different PDSCH scheduling scenarios: UE is scheduled with single TB-based PDSCH; or with single CBG-based PDSCH; or with </w:t>
      </w:r>
      <w:r w:rsidR="00D14A15" w:rsidRPr="00D21268">
        <w:rPr>
          <w:rFonts w:eastAsia="MS Mincho"/>
          <w:lang w:val="en-US" w:eastAsia="ja-JP"/>
        </w:rPr>
        <w:t>single TB-based PDSCH and single CBG-based PDSCH on one slot and a single CBG-based PDSCH on the consecutive slot.</w:t>
      </w:r>
    </w:p>
    <w:p w14:paraId="132BA7DB" w14:textId="77777777" w:rsidR="00D14A15" w:rsidRPr="00D21268" w:rsidRDefault="00D14A15" w:rsidP="00754993">
      <w:pPr>
        <w:spacing w:after="60"/>
        <w:jc w:val="both"/>
        <w:rPr>
          <w:rFonts w:eastAsia="MS Mincho"/>
          <w:lang w:val="en-US" w:eastAsia="ja-JP"/>
        </w:rPr>
      </w:pPr>
      <w:r w:rsidRPr="00D21268">
        <w:rPr>
          <w:rFonts w:eastAsia="MS Mincho"/>
          <w:lang w:val="en-US" w:eastAsia="ja-JP"/>
        </w:rPr>
        <w:t>From the calculations on the table it can be noted that:</w:t>
      </w:r>
    </w:p>
    <w:p w14:paraId="7E26AFBF" w14:textId="7E77E2D3" w:rsidR="00265276" w:rsidRPr="00754993" w:rsidRDefault="00D14A15" w:rsidP="00754993">
      <w:pPr>
        <w:pStyle w:val="ListParagraph"/>
        <w:numPr>
          <w:ilvl w:val="0"/>
          <w:numId w:val="70"/>
        </w:numPr>
        <w:jc w:val="both"/>
        <w:rPr>
          <w:rFonts w:eastAsia="MS Mincho"/>
          <w:lang w:val="en-US" w:eastAsia="ja-JP"/>
        </w:rPr>
      </w:pPr>
      <w:r w:rsidRPr="001B15FC">
        <w:rPr>
          <w:rFonts w:eastAsia="MS Mincho"/>
          <w:sz w:val="20"/>
          <w:szCs w:val="20"/>
          <w:lang w:val="en-US" w:eastAsia="ja-JP"/>
        </w:rPr>
        <w:t xml:space="preserve">Extended DAI approach suffers from considerable increase in DCI </w:t>
      </w:r>
      <w:r w:rsidR="001B15FC" w:rsidRPr="001B15FC">
        <w:rPr>
          <w:rFonts w:eastAsia="MS Mincho"/>
          <w:sz w:val="20"/>
          <w:szCs w:val="20"/>
          <w:lang w:val="en-US" w:eastAsia="ja-JP"/>
        </w:rPr>
        <w:t>bits. On other hand, it may be used in a way that</w:t>
      </w:r>
      <w:r w:rsidRPr="001B15FC">
        <w:rPr>
          <w:rFonts w:eastAsia="MS Mincho"/>
          <w:sz w:val="20"/>
          <w:szCs w:val="20"/>
          <w:lang w:val="en-US" w:eastAsia="ja-JP"/>
        </w:rPr>
        <w:t xml:space="preserve"> compress</w:t>
      </w:r>
      <w:r w:rsidR="001B15FC" w:rsidRPr="001B15FC">
        <w:rPr>
          <w:rFonts w:eastAsia="MS Mincho"/>
          <w:sz w:val="20"/>
          <w:szCs w:val="20"/>
          <w:lang w:val="en-US" w:eastAsia="ja-JP"/>
        </w:rPr>
        <w:t>es</w:t>
      </w:r>
      <w:r w:rsidRPr="001B15FC">
        <w:rPr>
          <w:rFonts w:eastAsia="MS Mincho"/>
          <w:sz w:val="20"/>
          <w:szCs w:val="20"/>
          <w:lang w:val="en-US" w:eastAsia="ja-JP"/>
        </w:rPr>
        <w:t xml:space="preserve"> the number of </w:t>
      </w:r>
      <w:r w:rsidR="001B15FC" w:rsidRPr="001B15FC">
        <w:rPr>
          <w:rFonts w:eastAsia="MS Mincho"/>
          <w:sz w:val="20"/>
          <w:szCs w:val="20"/>
          <w:lang w:val="en-US" w:eastAsia="ja-JP"/>
        </w:rPr>
        <w:t xml:space="preserve">HARQ-ACK </w:t>
      </w:r>
      <w:r w:rsidR="001B15FC">
        <w:rPr>
          <w:rFonts w:eastAsia="MS Mincho"/>
          <w:sz w:val="20"/>
          <w:szCs w:val="20"/>
          <w:lang w:val="en-US" w:eastAsia="ja-JP"/>
        </w:rPr>
        <w:t xml:space="preserve">bits, although it was agreed in </w:t>
      </w:r>
      <w:r w:rsidR="001B15FC" w:rsidRPr="00EB16D0">
        <w:rPr>
          <w:rFonts w:eastAsia="MS Mincho"/>
          <w:sz w:val="20"/>
          <w:szCs w:val="20"/>
          <w:lang w:val="en-US" w:eastAsia="ja-JP"/>
        </w:rPr>
        <w:t>email discussion [90b-NR-32]</w:t>
      </w:r>
      <w:r w:rsidR="001B15FC">
        <w:rPr>
          <w:rFonts w:eastAsia="MS Mincho"/>
          <w:sz w:val="20"/>
          <w:szCs w:val="20"/>
          <w:lang w:val="en-US" w:eastAsia="ja-JP"/>
        </w:rPr>
        <w:t xml:space="preserve"> that compressed</w:t>
      </w:r>
      <w:r w:rsidR="001B15FC" w:rsidRPr="001B15FC">
        <w:rPr>
          <w:rFonts w:eastAsia="MS Mincho"/>
          <w:sz w:val="20"/>
          <w:szCs w:val="20"/>
          <w:lang w:val="en-US" w:eastAsia="ja-JP"/>
        </w:rPr>
        <w:t xml:space="preserve"> CBG-level HARQ-ACK feedback</w:t>
      </w:r>
      <w:r w:rsidR="001B15FC">
        <w:rPr>
          <w:rFonts w:eastAsia="MS Mincho"/>
          <w:sz w:val="20"/>
          <w:szCs w:val="20"/>
          <w:lang w:val="en-US" w:eastAsia="ja-JP"/>
        </w:rPr>
        <w:t xml:space="preserve"> schemes are not supported in Rel-15</w:t>
      </w:r>
      <w:r w:rsidR="001B15FC" w:rsidRPr="001B15FC">
        <w:rPr>
          <w:rFonts w:eastAsia="MS Mincho"/>
          <w:sz w:val="20"/>
          <w:szCs w:val="20"/>
          <w:lang w:val="en-US" w:eastAsia="ja-JP"/>
        </w:rPr>
        <w:t xml:space="preserve">. </w:t>
      </w:r>
      <w:r w:rsidR="001B15FC" w:rsidRPr="00754993">
        <w:rPr>
          <w:rFonts w:eastAsia="MS Mincho"/>
          <w:sz w:val="20"/>
          <w:szCs w:val="20"/>
          <w:lang w:val="en-US" w:eastAsia="ja-JP"/>
        </w:rPr>
        <w:t>In any case</w:t>
      </w:r>
      <w:r w:rsidR="003B0AB3" w:rsidRPr="00754993">
        <w:rPr>
          <w:rFonts w:eastAsia="MS Mincho"/>
          <w:sz w:val="20"/>
          <w:szCs w:val="20"/>
          <w:lang w:val="en-US" w:eastAsia="ja-JP"/>
        </w:rPr>
        <w:t>, the UCI saving is small as UCI size is dominated by the initial transmission. On the table, we assumed that initial BLER is 20%, with 1 CBG in error. One re-transmission was assumed to be sufficient. With these assumptions, 83% of transmissions are initial transmissions with 6 HARQ-ACKs. 17% of transmission are retransmissions for which 1 HARQ-ACK bit is sufficient. Correspondingly, average number of HARQ-ACK bits under these assumptions is 5.2 bits.</w:t>
      </w:r>
    </w:p>
    <w:p w14:paraId="236FA39F" w14:textId="2749D20D" w:rsidR="003B0AB3" w:rsidRPr="00D21268" w:rsidRDefault="003B0AB3" w:rsidP="00754993">
      <w:pPr>
        <w:pStyle w:val="ListParagraph"/>
        <w:numPr>
          <w:ilvl w:val="0"/>
          <w:numId w:val="70"/>
        </w:numPr>
        <w:jc w:val="both"/>
        <w:rPr>
          <w:rFonts w:eastAsia="MS Mincho"/>
          <w:lang w:val="en-US" w:eastAsia="ja-JP"/>
        </w:rPr>
      </w:pPr>
      <w:r w:rsidRPr="00D21268">
        <w:rPr>
          <w:rFonts w:eastAsia="MS Mincho"/>
          <w:sz w:val="20"/>
          <w:szCs w:val="20"/>
          <w:lang w:val="en-US" w:eastAsia="ja-JP"/>
        </w:rPr>
        <w:lastRenderedPageBreak/>
        <w:t>On other hand, the third scheme (</w:t>
      </w:r>
      <w:r w:rsidR="00D21268" w:rsidRPr="00D21268">
        <w:rPr>
          <w:rFonts w:eastAsia="MS Mincho"/>
          <w:sz w:val="20"/>
          <w:szCs w:val="20"/>
          <w:lang w:val="en-US" w:eastAsia="ja-JP"/>
        </w:rPr>
        <w:t>codebook semi-static in frequency, dynamic in time) suffers from large UCI as unnecessary HARQ-ACK bits are transmitted.</w:t>
      </w:r>
    </w:p>
    <w:p w14:paraId="560BFBA9" w14:textId="609EB76C" w:rsidR="00D21268" w:rsidRPr="00754993" w:rsidRDefault="00D21268" w:rsidP="00754993">
      <w:pPr>
        <w:pStyle w:val="ListParagraph"/>
        <w:numPr>
          <w:ilvl w:val="0"/>
          <w:numId w:val="70"/>
        </w:numPr>
        <w:spacing w:after="120"/>
        <w:ind w:left="913" w:hanging="357"/>
        <w:jc w:val="both"/>
        <w:rPr>
          <w:rFonts w:eastAsia="MS Mincho"/>
          <w:lang w:val="en-US" w:eastAsia="ja-JP"/>
        </w:rPr>
      </w:pPr>
      <w:r w:rsidRPr="00D21268">
        <w:rPr>
          <w:rFonts w:eastAsia="MS Mincho"/>
          <w:sz w:val="20"/>
          <w:szCs w:val="20"/>
          <w:lang w:val="en-US" w:eastAsia="ja-JP"/>
        </w:rPr>
        <w:t xml:space="preserve">Sub-codebook based approach facilitates reasonable control overhead: there is only 1-bit increase on DCI (in addition to 2-bit DAIs) and HARQ-ACK bits only for scheduled PDSCHs are reported on uplink. </w:t>
      </w:r>
    </w:p>
    <w:p w14:paraId="3F0171B3" w14:textId="35E9548C" w:rsidR="008D7EAB" w:rsidRPr="00D21268" w:rsidRDefault="00D21268" w:rsidP="00754993">
      <w:pPr>
        <w:spacing w:after="240"/>
        <w:jc w:val="both"/>
        <w:rPr>
          <w:b/>
        </w:rPr>
      </w:pPr>
      <w:r w:rsidRPr="00D21268">
        <w:rPr>
          <w:rFonts w:eastAsia="MS Mincho"/>
          <w:lang w:val="en-US" w:eastAsia="ja-JP"/>
        </w:rPr>
        <w:t xml:space="preserve">Based on the discussion above, we propose that dynamic HARQ-ACK codebook </w:t>
      </w:r>
      <w:r w:rsidRPr="00754993">
        <w:rPr>
          <w:rFonts w:eastAsia="MS Mincho"/>
        </w:rPr>
        <w:t>with CBG configuration at least for one serving cell</w:t>
      </w:r>
      <w:r w:rsidRPr="00D21268" w:rsidDel="000F05E1">
        <w:rPr>
          <w:rFonts w:eastAsia="MS Mincho"/>
          <w:lang w:val="en-US" w:eastAsia="ja-JP"/>
        </w:rPr>
        <w:t xml:space="preserve"> </w:t>
      </w:r>
      <w:r w:rsidRPr="00D21268">
        <w:rPr>
          <w:rFonts w:eastAsia="MS Mincho"/>
          <w:lang w:val="en-US" w:eastAsia="ja-JP"/>
        </w:rPr>
        <w:t>is based on the HARQ-ACK sub-codebook mechanism using 2 separate DAI processes.</w:t>
      </w:r>
    </w:p>
    <w:p w14:paraId="1E82EAAC" w14:textId="535D40B8" w:rsidR="007A13E7" w:rsidRPr="00B8035E" w:rsidRDefault="0064373B" w:rsidP="00B8035E">
      <w:pPr>
        <w:spacing w:after="0"/>
        <w:jc w:val="both"/>
        <w:rPr>
          <w:rFonts w:eastAsia="MS Mincho"/>
          <w:i/>
        </w:rPr>
      </w:pPr>
      <w:r w:rsidRPr="00B8035E">
        <w:rPr>
          <w:b/>
        </w:rPr>
        <w:t xml:space="preserve">Proposal </w:t>
      </w:r>
      <w:r w:rsidR="007A13E7" w:rsidRPr="00B8035E">
        <w:rPr>
          <w:b/>
        </w:rPr>
        <w:t>#</w:t>
      </w:r>
      <w:r w:rsidR="006107C9">
        <w:rPr>
          <w:b/>
        </w:rPr>
        <w:t>9</w:t>
      </w:r>
      <w:r w:rsidRPr="00B8035E">
        <w:rPr>
          <w:b/>
        </w:rPr>
        <w:t>:</w:t>
      </w:r>
      <w:r w:rsidR="007A13E7" w:rsidRPr="00B8035E">
        <w:rPr>
          <w:i/>
        </w:rPr>
        <w:t xml:space="preserve"> Dynamic HARQ-ACK codebook </w:t>
      </w:r>
      <w:r w:rsidR="007A13E7" w:rsidRPr="00B8035E">
        <w:rPr>
          <w:rFonts w:eastAsia="MS Mincho"/>
          <w:i/>
        </w:rPr>
        <w:t>with CBG configuration at least for one serving cell is composed of separate sub-codebooks for TB-based PDSCHs and CBG-based PDSCHs.</w:t>
      </w:r>
    </w:p>
    <w:p w14:paraId="6111CE00" w14:textId="6BABEB35" w:rsidR="007A13E7" w:rsidRPr="00B8035E" w:rsidRDefault="007A13E7" w:rsidP="00B8035E">
      <w:pPr>
        <w:pStyle w:val="ListParagraph"/>
        <w:numPr>
          <w:ilvl w:val="0"/>
          <w:numId w:val="69"/>
        </w:numPr>
        <w:jc w:val="both"/>
        <w:rPr>
          <w:rFonts w:eastAsia="MS Mincho"/>
          <w:i/>
          <w:sz w:val="20"/>
          <w:szCs w:val="20"/>
          <w:lang w:val="en-US"/>
        </w:rPr>
      </w:pPr>
      <w:r w:rsidRPr="00B8035E">
        <w:rPr>
          <w:rFonts w:eastAsia="MS Mincho"/>
          <w:i/>
          <w:sz w:val="20"/>
          <w:szCs w:val="20"/>
          <w:lang w:val="en-US"/>
        </w:rPr>
        <w:t xml:space="preserve">Sub-codebooks are determined separately with </w:t>
      </w:r>
      <w:r w:rsidRPr="00B8035E">
        <w:rPr>
          <w:i/>
          <w:sz w:val="20"/>
          <w:szCs w:val="20"/>
          <w:lang w:val="en-US"/>
        </w:rPr>
        <w:t xml:space="preserve">independent </w:t>
      </w:r>
      <w:r w:rsidRPr="00B8035E">
        <w:rPr>
          <w:rFonts w:eastAsia="MS Mincho"/>
          <w:i/>
          <w:sz w:val="20"/>
          <w:szCs w:val="20"/>
          <w:lang w:val="en-US" w:eastAsia="ja-JP"/>
        </w:rPr>
        <w:t xml:space="preserve">frequency-first–time-second </w:t>
      </w:r>
      <w:r w:rsidRPr="00B8035E">
        <w:rPr>
          <w:i/>
          <w:sz w:val="20"/>
          <w:szCs w:val="20"/>
          <w:lang w:val="en-US"/>
        </w:rPr>
        <w:t>counter DAI and total DAI mechanisms.</w:t>
      </w:r>
    </w:p>
    <w:p w14:paraId="3D6B34BC" w14:textId="0710ABC0" w:rsidR="007A13E7" w:rsidRPr="00B8035E" w:rsidRDefault="007A13E7" w:rsidP="007A13E7">
      <w:pPr>
        <w:pStyle w:val="ListParagraph"/>
        <w:numPr>
          <w:ilvl w:val="0"/>
          <w:numId w:val="69"/>
        </w:numPr>
        <w:spacing w:after="240"/>
        <w:ind w:left="714" w:hanging="357"/>
        <w:rPr>
          <w:rFonts w:eastAsia="MS Mincho"/>
          <w:i/>
          <w:sz w:val="20"/>
          <w:szCs w:val="20"/>
          <w:lang w:val="en-US"/>
        </w:rPr>
      </w:pPr>
      <w:r w:rsidRPr="00B8035E">
        <w:rPr>
          <w:rFonts w:eastAsia="MS Mincho"/>
          <w:i/>
          <w:sz w:val="20"/>
          <w:szCs w:val="20"/>
          <w:lang w:val="en-US"/>
        </w:rPr>
        <w:t>Presence/absence of the other sub-codebook is indicated with a DCI flag</w:t>
      </w:r>
    </w:p>
    <w:p w14:paraId="6A97205C" w14:textId="3B88C616" w:rsidR="00007B06" w:rsidRDefault="008D7EAB" w:rsidP="00754993">
      <w:pPr>
        <w:spacing w:after="360"/>
        <w:jc w:val="both"/>
        <w:rPr>
          <w:bCs/>
          <w:i/>
          <w:lang w:eastAsia="x-none"/>
        </w:rPr>
      </w:pPr>
      <w:r w:rsidRPr="00754993">
        <w:rPr>
          <w:b/>
          <w:i/>
          <w:lang w:val="en-US"/>
        </w:rPr>
        <w:t>Observation #</w:t>
      </w:r>
      <w:r w:rsidR="001B15FC">
        <w:rPr>
          <w:b/>
          <w:i/>
          <w:lang w:val="en-US"/>
        </w:rPr>
        <w:t>1</w:t>
      </w:r>
      <w:r w:rsidRPr="00754993">
        <w:rPr>
          <w:b/>
          <w:i/>
        </w:rPr>
        <w:t>:</w:t>
      </w:r>
      <w:r w:rsidRPr="00D14A15">
        <w:rPr>
          <w:i/>
        </w:rPr>
        <w:t xml:space="preserve"> </w:t>
      </w:r>
      <w:r w:rsidR="00B8035E" w:rsidRPr="00D14A15">
        <w:rPr>
          <w:i/>
        </w:rPr>
        <w:t>HARQ</w:t>
      </w:r>
      <w:r w:rsidR="00B8035E" w:rsidRPr="00B8035E">
        <w:rPr>
          <w:i/>
        </w:rPr>
        <w:t>-</w:t>
      </w:r>
      <w:r w:rsidRPr="00B8035E">
        <w:rPr>
          <w:i/>
        </w:rPr>
        <w:t xml:space="preserve">ACK multiplexing </w:t>
      </w:r>
      <w:r w:rsidR="00B8035E" w:rsidRPr="00B8035E">
        <w:rPr>
          <w:i/>
        </w:rPr>
        <w:t xml:space="preserve">can be supported for </w:t>
      </w:r>
      <w:r w:rsidR="00B8035E" w:rsidRPr="00754993">
        <w:rPr>
          <w:bCs/>
          <w:i/>
          <w:lang w:eastAsia="x-none"/>
        </w:rPr>
        <w:t>PDSCH schedule</w:t>
      </w:r>
      <w:r w:rsidR="00B8035E" w:rsidRPr="00B8035E">
        <w:rPr>
          <w:bCs/>
          <w:i/>
          <w:lang w:eastAsia="x-none"/>
        </w:rPr>
        <w:t xml:space="preserve">d with </w:t>
      </w:r>
      <w:r w:rsidR="00B8035E" w:rsidRPr="00754993">
        <w:rPr>
          <w:bCs/>
          <w:i/>
          <w:lang w:eastAsia="x-none"/>
        </w:rPr>
        <w:t>fallback DCI</w:t>
      </w:r>
      <w:r w:rsidR="00B8035E" w:rsidRPr="00B8035E">
        <w:rPr>
          <w:bCs/>
          <w:i/>
          <w:lang w:eastAsia="x-none"/>
        </w:rPr>
        <w:t xml:space="preserve"> in the case of dynamic HARQ-ACK codebook based on the sub-codebook</w:t>
      </w:r>
      <w:r w:rsidR="00B8035E">
        <w:rPr>
          <w:bCs/>
          <w:i/>
          <w:lang w:eastAsia="x-none"/>
        </w:rPr>
        <w:t xml:space="preserve"> approach.</w:t>
      </w:r>
      <w:r w:rsidR="00B8035E" w:rsidRPr="00B8035E">
        <w:rPr>
          <w:bCs/>
          <w:i/>
          <w:lang w:eastAsia="x-none"/>
        </w:rPr>
        <w:t xml:space="preserve"> </w:t>
      </w:r>
    </w:p>
    <w:p w14:paraId="18B7A108" w14:textId="48E99109" w:rsidR="00B43E74" w:rsidRPr="00754993" w:rsidRDefault="00B43E74" w:rsidP="00754993">
      <w:pPr>
        <w:pStyle w:val="Caption"/>
        <w:keepNext/>
        <w:spacing w:after="180"/>
        <w:jc w:val="center"/>
        <w:rPr>
          <w:lang w:val="en-US"/>
        </w:rPr>
      </w:pPr>
      <w:r>
        <w:t xml:space="preserve">Table </w:t>
      </w:r>
      <w:r w:rsidRPr="003019FF">
        <w:fldChar w:fldCharType="begin"/>
      </w:r>
      <w:r>
        <w:instrText xml:space="preserve"> SEQ Table \* ARABIC </w:instrText>
      </w:r>
      <w:r w:rsidRPr="003019FF">
        <w:fldChar w:fldCharType="separate"/>
      </w:r>
      <w:r>
        <w:rPr>
          <w:noProof/>
        </w:rPr>
        <w:t>1</w:t>
      </w:r>
      <w:r w:rsidRPr="003019FF">
        <w:fldChar w:fldCharType="end"/>
      </w:r>
      <w:r w:rsidRPr="00A861D7">
        <w:rPr>
          <w:lang w:val="en-US"/>
        </w:rPr>
        <w:t xml:space="preserve">: </w:t>
      </w:r>
      <w:r w:rsidR="000F05E1">
        <w:rPr>
          <w:lang w:val="en-US"/>
        </w:rPr>
        <w:t xml:space="preserve">Comparison of dynamic </w:t>
      </w:r>
      <w:r w:rsidR="00265276">
        <w:rPr>
          <w:lang w:val="en-US"/>
        </w:rPr>
        <w:t xml:space="preserve">HARQ-ACK </w:t>
      </w:r>
      <w:r w:rsidR="000F05E1">
        <w:rPr>
          <w:lang w:val="en-US"/>
        </w:rPr>
        <w:t>codebook mechanisms for CBG-based transmissions.</w:t>
      </w:r>
    </w:p>
    <w:p w14:paraId="064620E1" w14:textId="0923FB69" w:rsidR="004142CD" w:rsidRPr="00EE4EAC" w:rsidRDefault="00E315E2" w:rsidP="00D10F3E">
      <w:pPr>
        <w:spacing w:after="360"/>
        <w:rPr>
          <w:i/>
        </w:rPr>
      </w:pPr>
      <w:r w:rsidRPr="00E315E2">
        <w:rPr>
          <w:noProof/>
        </w:rPr>
        <w:drawing>
          <wp:inline distT="0" distB="0" distL="0" distR="0" wp14:anchorId="6CACCF99" wp14:editId="402DB1C6">
            <wp:extent cx="5994000" cy="4928400"/>
            <wp:effectExtent l="0" t="0" r="698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4000" cy="4928400"/>
                    </a:xfrm>
                    <a:prstGeom prst="rect">
                      <a:avLst/>
                    </a:prstGeom>
                    <a:noFill/>
                    <a:ln>
                      <a:noFill/>
                    </a:ln>
                  </pic:spPr>
                </pic:pic>
              </a:graphicData>
            </a:graphic>
          </wp:inline>
        </w:drawing>
      </w:r>
      <w:r w:rsidRPr="00E315E2">
        <w:t xml:space="preserve"> </w:t>
      </w:r>
    </w:p>
    <w:p w14:paraId="41B2D60F" w14:textId="44708E36" w:rsidR="00735F5D" w:rsidRPr="0038303D" w:rsidRDefault="00735F5D" w:rsidP="003019FF">
      <w:pPr>
        <w:pStyle w:val="Heading2"/>
      </w:pPr>
      <w:r w:rsidRPr="0038303D">
        <w:t>3.</w:t>
      </w:r>
      <w:r w:rsidR="001C182D">
        <w:t>4</w:t>
      </w:r>
      <w:r w:rsidRPr="0038303D">
        <w:t xml:space="preserve"> HARQ-ACK bundling</w:t>
      </w:r>
      <w:r w:rsidR="001C182D">
        <w:t xml:space="preserve"> </w:t>
      </w:r>
    </w:p>
    <w:p w14:paraId="4B681302" w14:textId="0710F04E" w:rsidR="004142CD" w:rsidRPr="0038303D" w:rsidRDefault="004142CD" w:rsidP="001C66EE">
      <w:pPr>
        <w:spacing w:after="120"/>
        <w:jc w:val="both"/>
        <w:rPr>
          <w:bCs/>
        </w:rPr>
      </w:pPr>
      <w:r w:rsidRPr="0038303D">
        <w:t>There are situations where it is attractive to compress HARQ feedback even at the price of somewhat degraded DL throughput, for example, when UL is coverage limited or when UCI size temporarily exceeds the reliable capacity of allocated PUCCH resource. In</w:t>
      </w:r>
      <w:r w:rsidR="00F964FB">
        <w:t xml:space="preserve"> RAN1#90bis, it was agreed to support spatial bundling:</w:t>
      </w:r>
      <w:r w:rsidRPr="0038303D">
        <w:t xml:space="preserve"> </w:t>
      </w:r>
    </w:p>
    <w:p w14:paraId="7C09695A" w14:textId="582E0945" w:rsidR="002774DB" w:rsidRPr="00754993" w:rsidRDefault="002774DB" w:rsidP="00754993">
      <w:pPr>
        <w:spacing w:after="0"/>
        <w:rPr>
          <w:i/>
          <w:sz w:val="18"/>
        </w:rPr>
      </w:pPr>
      <w:r w:rsidRPr="00754993">
        <w:rPr>
          <w:i/>
          <w:sz w:val="18"/>
          <w:highlight w:val="green"/>
        </w:rPr>
        <w:t>Agreements</w:t>
      </w:r>
      <w:r w:rsidRPr="00754993">
        <w:rPr>
          <w:i/>
          <w:sz w:val="18"/>
        </w:rPr>
        <w:t>:</w:t>
      </w:r>
      <w:r w:rsidR="00F964FB" w:rsidRPr="00754993">
        <w:rPr>
          <w:i/>
          <w:sz w:val="18"/>
        </w:rPr>
        <w:t xml:space="preserve"> </w:t>
      </w:r>
      <w:r w:rsidRPr="00754993">
        <w:rPr>
          <w:i/>
          <w:sz w:val="18"/>
          <w:lang w:eastAsia="zh-CN"/>
        </w:rPr>
        <w:t>NR supports HARQ-ACK bundling in spatial domain for a NR-PDSCH transmission</w:t>
      </w:r>
    </w:p>
    <w:p w14:paraId="101B9204" w14:textId="77777777" w:rsidR="002774DB" w:rsidRPr="00754993" w:rsidRDefault="002774DB" w:rsidP="00F964FB">
      <w:pPr>
        <w:numPr>
          <w:ilvl w:val="1"/>
          <w:numId w:val="52"/>
        </w:numPr>
        <w:overflowPunct/>
        <w:autoSpaceDE/>
        <w:autoSpaceDN/>
        <w:adjustRightInd/>
        <w:spacing w:after="120"/>
        <w:ind w:left="1559" w:hanging="357"/>
        <w:textAlignment w:val="auto"/>
        <w:rPr>
          <w:i/>
          <w:sz w:val="18"/>
        </w:rPr>
      </w:pPr>
      <w:r w:rsidRPr="00754993">
        <w:rPr>
          <w:i/>
          <w:sz w:val="18"/>
          <w:lang w:eastAsia="zh-CN"/>
        </w:rPr>
        <w:lastRenderedPageBreak/>
        <w:t>FFS details (e.g., whether or not to have RRC configuration, whether to apply to CBG-based HARQ-ACK or not, etc.)</w:t>
      </w:r>
    </w:p>
    <w:p w14:paraId="58D2853C" w14:textId="0D13EF20" w:rsidR="002774DB" w:rsidRPr="00754993" w:rsidRDefault="002774DB" w:rsidP="00754993">
      <w:pPr>
        <w:spacing w:after="0" w:line="259" w:lineRule="auto"/>
        <w:rPr>
          <w:i/>
          <w:sz w:val="18"/>
        </w:rPr>
      </w:pPr>
      <w:r w:rsidRPr="00754993">
        <w:rPr>
          <w:i/>
          <w:sz w:val="18"/>
          <w:highlight w:val="green"/>
        </w:rPr>
        <w:t>Agreements</w:t>
      </w:r>
      <w:r w:rsidRPr="00754993">
        <w:rPr>
          <w:i/>
          <w:sz w:val="18"/>
        </w:rPr>
        <w:t>:</w:t>
      </w:r>
      <w:r w:rsidR="00F964FB" w:rsidRPr="00754993">
        <w:rPr>
          <w:i/>
          <w:sz w:val="18"/>
        </w:rPr>
        <w:t xml:space="preserve"> </w:t>
      </w:r>
      <w:r w:rsidRPr="00754993">
        <w:rPr>
          <w:i/>
          <w:sz w:val="18"/>
        </w:rPr>
        <w:t xml:space="preserve">For HARQ-ACK spatial bundling: </w:t>
      </w:r>
    </w:p>
    <w:p w14:paraId="1F4E3D9E" w14:textId="77777777" w:rsidR="002774DB" w:rsidRPr="00754993" w:rsidRDefault="002774DB" w:rsidP="00F964FB">
      <w:pPr>
        <w:numPr>
          <w:ilvl w:val="1"/>
          <w:numId w:val="55"/>
        </w:numPr>
        <w:overflowPunct/>
        <w:autoSpaceDE/>
        <w:autoSpaceDN/>
        <w:adjustRightInd/>
        <w:spacing w:after="0" w:line="259" w:lineRule="auto"/>
        <w:textAlignment w:val="auto"/>
        <w:rPr>
          <w:i/>
          <w:sz w:val="18"/>
        </w:rPr>
      </w:pPr>
      <w:r w:rsidRPr="00754993">
        <w:rPr>
          <w:i/>
          <w:sz w:val="18"/>
        </w:rPr>
        <w:t>Support higher layer configuration for spatial-domain bundling per PUCCH group</w:t>
      </w:r>
    </w:p>
    <w:p w14:paraId="179EA2AE" w14:textId="77777777" w:rsidR="002774DB" w:rsidRPr="00754993" w:rsidRDefault="002774DB" w:rsidP="00F964FB">
      <w:pPr>
        <w:numPr>
          <w:ilvl w:val="2"/>
          <w:numId w:val="55"/>
        </w:numPr>
        <w:overflowPunct/>
        <w:autoSpaceDE/>
        <w:autoSpaceDN/>
        <w:adjustRightInd/>
        <w:spacing w:after="0" w:line="259" w:lineRule="auto"/>
        <w:textAlignment w:val="auto"/>
        <w:rPr>
          <w:i/>
          <w:sz w:val="18"/>
        </w:rPr>
      </w:pPr>
      <w:r w:rsidRPr="00754993">
        <w:rPr>
          <w:i/>
          <w:sz w:val="18"/>
        </w:rPr>
        <w:t>Bundling is per cell, and same configuration applies to all the cells</w:t>
      </w:r>
    </w:p>
    <w:p w14:paraId="3BD39D3E" w14:textId="77777777" w:rsidR="002774DB" w:rsidRPr="00754993" w:rsidRDefault="002774DB" w:rsidP="002774DB">
      <w:pPr>
        <w:numPr>
          <w:ilvl w:val="1"/>
          <w:numId w:val="55"/>
        </w:numPr>
        <w:overflowPunct/>
        <w:autoSpaceDE/>
        <w:autoSpaceDN/>
        <w:adjustRightInd/>
        <w:spacing w:after="160" w:line="259" w:lineRule="auto"/>
        <w:textAlignment w:val="auto"/>
        <w:rPr>
          <w:i/>
          <w:sz w:val="18"/>
        </w:rPr>
      </w:pPr>
      <w:r w:rsidRPr="00754993">
        <w:rPr>
          <w:i/>
          <w:sz w:val="18"/>
        </w:rPr>
        <w:t>FFS whether or not to support HARQ spatial bundling in a dynamic manner</w:t>
      </w:r>
    </w:p>
    <w:p w14:paraId="031E5316" w14:textId="2FDF89B3" w:rsidR="004142CD" w:rsidRPr="000804F7" w:rsidRDefault="00F964FB" w:rsidP="00D10F3E">
      <w:pPr>
        <w:jc w:val="both"/>
        <w:rPr>
          <w:lang w:val="en-US"/>
        </w:rPr>
      </w:pPr>
      <w:r>
        <w:t xml:space="preserve">As agreed, </w:t>
      </w:r>
      <w:r w:rsidR="004142CD" w:rsidRPr="003252A4">
        <w:t xml:space="preserve">HARQ-ACK bundling </w:t>
      </w:r>
      <w:r>
        <w:t>is</w:t>
      </w:r>
      <w:r w:rsidR="004142CD" w:rsidRPr="003252A4">
        <w:t xml:space="preserve"> </w:t>
      </w:r>
      <w:r>
        <w:t xml:space="preserve">configured </w:t>
      </w:r>
      <w:r w:rsidR="004142CD" w:rsidRPr="003252A4">
        <w:t>by higher layer signalling.</w:t>
      </w:r>
      <w:r>
        <w:t xml:space="preserve"> We also see that spatial bundling </w:t>
      </w:r>
      <w:r w:rsidR="004142CD" w:rsidRPr="00F964FB">
        <w:rPr>
          <w:lang w:val="en-US"/>
        </w:rPr>
        <w:t>can be used semi-statically to compress HARQ feedback. In addition to semi-static compression of HARQ feedback, HARQ-ACK bundling can also be applied temporarily</w:t>
      </w:r>
      <w:r>
        <w:rPr>
          <w:lang w:val="en-US"/>
        </w:rPr>
        <w:t xml:space="preserve"> or dynamically</w:t>
      </w:r>
      <w:r w:rsidR="004142CD" w:rsidRPr="00F964FB">
        <w:rPr>
          <w:lang w:val="en-US"/>
        </w:rPr>
        <w:t xml:space="preserve"> when overall UCI size exceeds the reliable capacity of the allocated PUCCH resource, determ</w:t>
      </w:r>
      <w:r w:rsidR="000804F7">
        <w:rPr>
          <w:lang w:val="en-US"/>
        </w:rPr>
        <w:t xml:space="preserve">ined by </w:t>
      </w:r>
      <w:r w:rsidR="004142CD" w:rsidRPr="00F964FB">
        <w:rPr>
          <w:lang w:val="en-US"/>
        </w:rPr>
        <w:t>RRC configured maximum code rate for UCI</w:t>
      </w:r>
      <w:r w:rsidR="000804F7">
        <w:rPr>
          <w:lang w:val="en-US"/>
        </w:rPr>
        <w:t xml:space="preserve">, as discussed in our companion </w:t>
      </w:r>
      <w:r w:rsidR="000804F7" w:rsidRPr="001B15FC">
        <w:rPr>
          <w:lang w:val="en-US"/>
        </w:rPr>
        <w:t xml:space="preserve">contribution </w:t>
      </w:r>
      <w:r w:rsidR="000804F7" w:rsidRPr="00754993">
        <w:rPr>
          <w:lang w:val="en-US"/>
        </w:rPr>
        <w:t>[</w:t>
      </w:r>
      <w:r w:rsidR="001A0C1F" w:rsidRPr="00754993">
        <w:rPr>
          <w:lang w:val="en-US"/>
        </w:rPr>
        <w:t>5</w:t>
      </w:r>
      <w:r w:rsidR="000804F7" w:rsidRPr="00754993">
        <w:rPr>
          <w:lang w:val="en-US"/>
        </w:rPr>
        <w:t>]</w:t>
      </w:r>
      <w:r w:rsidR="004142CD" w:rsidRPr="001B15FC">
        <w:rPr>
          <w:lang w:val="en-US"/>
        </w:rPr>
        <w:t>. Such situation can occur e.g. with CA and dynamic HARQ codebook determination, but it should occur only infrequently.</w:t>
      </w:r>
      <w:r w:rsidR="00E72C48" w:rsidRPr="001B15FC">
        <w:rPr>
          <w:lang w:val="en-US"/>
        </w:rPr>
        <w:t xml:space="preserve"> </w:t>
      </w:r>
      <w:r w:rsidR="000804F7" w:rsidRPr="001B15FC">
        <w:rPr>
          <w:lang w:val="en-US"/>
        </w:rPr>
        <w:t>Spatial bundling as well as HARQ-ACK bundling across CBGs</w:t>
      </w:r>
      <w:r w:rsidR="00295C46" w:rsidRPr="001B15FC">
        <w:rPr>
          <w:lang w:val="en-US"/>
        </w:rPr>
        <w:t xml:space="preserve"> </w:t>
      </w:r>
      <w:r w:rsidR="000804F7" w:rsidRPr="001B15FC">
        <w:rPr>
          <w:lang w:val="en-US"/>
        </w:rPr>
        <w:t xml:space="preserve">are </w:t>
      </w:r>
      <w:r w:rsidR="00295C46" w:rsidRPr="001B15FC">
        <w:rPr>
          <w:lang w:val="en-US"/>
        </w:rPr>
        <w:t>reasonable option</w:t>
      </w:r>
      <w:r w:rsidR="000804F7" w:rsidRPr="001B15FC">
        <w:rPr>
          <w:lang w:val="en-US"/>
        </w:rPr>
        <w:t>s</w:t>
      </w:r>
      <w:r w:rsidR="00295C46" w:rsidRPr="001B15FC">
        <w:rPr>
          <w:lang w:val="en-US"/>
        </w:rPr>
        <w:t xml:space="preserve"> for such temporal HARQ feedback compression.</w:t>
      </w:r>
      <w:r w:rsidR="000804F7" w:rsidRPr="001B15FC">
        <w:rPr>
          <w:lang w:val="en-US"/>
        </w:rPr>
        <w:t xml:space="preserve"> </w:t>
      </w:r>
      <w:r w:rsidR="004142CD" w:rsidRPr="001B15FC">
        <w:t>Based</w:t>
      </w:r>
      <w:r w:rsidR="004142CD" w:rsidRPr="003252A4">
        <w:t xml:space="preserve"> on discussion, we propose that</w:t>
      </w:r>
      <w:r w:rsidR="000804F7">
        <w:t xml:space="preserve"> dynamic spatial bundling as well as </w:t>
      </w:r>
      <w:r w:rsidR="004142CD" w:rsidRPr="003252A4">
        <w:t xml:space="preserve"> </w:t>
      </w:r>
      <w:r w:rsidR="000804F7">
        <w:t>dynamic HARQ-ACK bundling</w:t>
      </w:r>
      <w:r w:rsidR="004142CD" w:rsidRPr="003252A4">
        <w:t xml:space="preserve"> across CBG</w:t>
      </w:r>
      <w:r w:rsidR="000804F7">
        <w:t>s are supported</w:t>
      </w:r>
      <w:r w:rsidR="004142CD" w:rsidRPr="003252A4">
        <w:t xml:space="preserve">. </w:t>
      </w:r>
    </w:p>
    <w:p w14:paraId="3D6630E2" w14:textId="2DB255B2" w:rsidR="004142CD" w:rsidRPr="003019FF" w:rsidRDefault="004142CD" w:rsidP="001C66EE">
      <w:pPr>
        <w:jc w:val="both"/>
        <w:rPr>
          <w:bCs/>
        </w:rPr>
      </w:pPr>
      <w:r w:rsidRPr="003252A4">
        <w:rPr>
          <w:b/>
          <w:bCs/>
          <w:i/>
          <w:iCs/>
        </w:rPr>
        <w:t>Proposal #</w:t>
      </w:r>
      <w:r w:rsidR="00362017">
        <w:rPr>
          <w:b/>
          <w:bCs/>
          <w:i/>
          <w:iCs/>
        </w:rPr>
        <w:t>1</w:t>
      </w:r>
      <w:r w:rsidR="006107C9">
        <w:rPr>
          <w:b/>
          <w:bCs/>
          <w:i/>
          <w:iCs/>
        </w:rPr>
        <w:t>0</w:t>
      </w:r>
      <w:r w:rsidRPr="003252A4">
        <w:rPr>
          <w:b/>
          <w:bCs/>
          <w:i/>
          <w:iCs/>
        </w:rPr>
        <w:t xml:space="preserve">: </w:t>
      </w:r>
      <w:r w:rsidRPr="003019FF">
        <w:rPr>
          <w:bCs/>
          <w:i/>
          <w:iCs/>
        </w:rPr>
        <w:t xml:space="preserve">HARQ-ACK bundling </w:t>
      </w:r>
      <w:r w:rsidR="000804F7">
        <w:rPr>
          <w:bCs/>
          <w:i/>
          <w:iCs/>
        </w:rPr>
        <w:t>in spatial domain can be applied dynamically.</w:t>
      </w:r>
      <w:r w:rsidRPr="003019FF">
        <w:rPr>
          <w:bCs/>
          <w:i/>
          <w:iCs/>
        </w:rPr>
        <w:t xml:space="preserve"> </w:t>
      </w:r>
    </w:p>
    <w:p w14:paraId="52419641" w14:textId="2D8E53F3" w:rsidR="00295C46" w:rsidRPr="003019FF" w:rsidRDefault="004142CD" w:rsidP="000804F7">
      <w:pPr>
        <w:spacing w:after="0"/>
        <w:ind w:left="992" w:hanging="992"/>
        <w:rPr>
          <w:bCs/>
          <w:i/>
          <w:iCs/>
          <w:lang w:val="en-US"/>
        </w:rPr>
      </w:pPr>
      <w:r w:rsidRPr="003252A4">
        <w:rPr>
          <w:b/>
          <w:bCs/>
          <w:i/>
          <w:iCs/>
        </w:rPr>
        <w:t>Proposal #</w:t>
      </w:r>
      <w:r w:rsidR="00362017">
        <w:rPr>
          <w:b/>
          <w:bCs/>
          <w:i/>
          <w:iCs/>
        </w:rPr>
        <w:t>1</w:t>
      </w:r>
      <w:r w:rsidR="006107C9">
        <w:rPr>
          <w:b/>
          <w:bCs/>
          <w:i/>
          <w:iCs/>
        </w:rPr>
        <w:t>1</w:t>
      </w:r>
      <w:r w:rsidRPr="003252A4">
        <w:rPr>
          <w:b/>
          <w:bCs/>
          <w:i/>
          <w:iCs/>
        </w:rPr>
        <w:t xml:space="preserve">: </w:t>
      </w:r>
      <w:r w:rsidRPr="003019FF">
        <w:rPr>
          <w:bCs/>
          <w:i/>
          <w:iCs/>
        </w:rPr>
        <w:t xml:space="preserve">HARQ-ACK bundling </w:t>
      </w:r>
      <w:r w:rsidR="000804F7">
        <w:rPr>
          <w:bCs/>
          <w:i/>
          <w:iCs/>
        </w:rPr>
        <w:t>across CBGs is supported and can</w:t>
      </w:r>
      <w:r w:rsidR="00D05B63">
        <w:rPr>
          <w:i/>
          <w:lang w:val="en-US"/>
        </w:rPr>
        <w:t xml:space="preserve"> be applied </w:t>
      </w:r>
      <w:r w:rsidR="000804F7">
        <w:rPr>
          <w:i/>
          <w:lang w:val="en-US"/>
        </w:rPr>
        <w:t xml:space="preserve">only </w:t>
      </w:r>
      <w:r w:rsidR="00295C46">
        <w:rPr>
          <w:i/>
          <w:lang w:val="en-US"/>
        </w:rPr>
        <w:t>dynamically.</w:t>
      </w:r>
    </w:p>
    <w:p w14:paraId="14BA982A" w14:textId="131726FD" w:rsidR="00251EAE" w:rsidRPr="00251EAE" w:rsidRDefault="00251EAE" w:rsidP="00251EAE">
      <w:pPr>
        <w:pStyle w:val="Heading1"/>
      </w:pPr>
      <w:r>
        <w:rPr>
          <w:color w:val="000000"/>
        </w:rPr>
        <w:t>4  N</w:t>
      </w:r>
      <w:r>
        <w:t>umber of HARQ processes</w:t>
      </w:r>
      <w:r w:rsidR="001B5941">
        <w:t xml:space="preserve"> </w:t>
      </w:r>
    </w:p>
    <w:p w14:paraId="3E4D5FEB" w14:textId="4837534A" w:rsidR="00845215" w:rsidRDefault="00251EAE" w:rsidP="001C66EE">
      <w:pPr>
        <w:spacing w:after="120"/>
        <w:jc w:val="both"/>
        <w:rPr>
          <w:bCs/>
        </w:rPr>
      </w:pPr>
      <w:r w:rsidRPr="003252A4">
        <w:t>In this section we discuss</w:t>
      </w:r>
      <w:r w:rsidR="00845215" w:rsidRPr="003252A4">
        <w:t xml:space="preserve"> the number of HARQ processes</w:t>
      </w:r>
      <w:r w:rsidR="003D2A84" w:rsidRPr="003252A4">
        <w:t xml:space="preserve"> to be supported by the specification</w:t>
      </w:r>
      <w:r w:rsidR="00845215" w:rsidRPr="003252A4">
        <w:t>. The following agreements have been made in RAN1#89</w:t>
      </w:r>
      <w:r w:rsidR="00FA0931">
        <w:t xml:space="preserve"> [</w:t>
      </w:r>
      <w:r w:rsidR="001A0C1F">
        <w:t>6</w:t>
      </w:r>
      <w:r w:rsidR="00FA0931">
        <w:t>]:</w:t>
      </w:r>
    </w:p>
    <w:p w14:paraId="39A3331B" w14:textId="77777777" w:rsidR="00845215" w:rsidRPr="003019FF" w:rsidRDefault="00845215" w:rsidP="003019FF">
      <w:pPr>
        <w:spacing w:after="0"/>
        <w:rPr>
          <w:rFonts w:eastAsia="MS Mincho"/>
          <w:b/>
          <w:bCs/>
          <w:highlight w:val="yellow"/>
          <w:u w:val="single"/>
          <w:lang w:eastAsia="ja-JP"/>
        </w:rPr>
      </w:pPr>
      <w:r w:rsidRPr="003252A4">
        <w:rPr>
          <w:rFonts w:eastAsia="MS Mincho"/>
          <w:b/>
          <w:bCs/>
          <w:highlight w:val="green"/>
          <w:u w:val="single"/>
          <w:lang w:eastAsia="ja-JP"/>
        </w:rPr>
        <w:t>Agreements:</w:t>
      </w:r>
      <w:r w:rsidRPr="003252A4">
        <w:rPr>
          <w:rFonts w:eastAsia="MS Mincho"/>
          <w:sz w:val="18"/>
          <w:szCs w:val="18"/>
          <w:lang w:val="en-US" w:eastAsia="ja-JP"/>
        </w:rPr>
        <w:t xml:space="preserve"> (RAN1 #89)</w:t>
      </w:r>
    </w:p>
    <w:p w14:paraId="44EC5E1D" w14:textId="77777777" w:rsidR="00845215" w:rsidRPr="003019FF" w:rsidRDefault="00845215" w:rsidP="003019FF">
      <w:pPr>
        <w:numPr>
          <w:ilvl w:val="0"/>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eastAsia="ja-JP"/>
        </w:rPr>
        <w:t>A</w:t>
      </w:r>
      <w:r w:rsidRPr="003252A4">
        <w:rPr>
          <w:rFonts w:eastAsia="MS Mincho"/>
          <w:i/>
          <w:iCs/>
          <w:sz w:val="18"/>
          <w:szCs w:val="18"/>
          <w:lang w:val="en-US" w:eastAsia="ja-JP"/>
        </w:rPr>
        <w:t xml:space="preserve"> set of reference parameters is used for the purpose of soft buffer dimensioning</w:t>
      </w:r>
    </w:p>
    <w:p w14:paraId="3AE34711"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 xml:space="preserve">A reference set of parameters includes at least DL HARQ RTT [Y ms] and data rate(s) of X Gbps </w:t>
      </w:r>
    </w:p>
    <w:p w14:paraId="3C2A2A6C"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values of X and Y</w:t>
      </w:r>
    </w:p>
    <w:p w14:paraId="38AA4382"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other conditions</w:t>
      </w:r>
    </w:p>
    <w:p w14:paraId="76EC96A2"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This does not imply UE has to have a HARQ-ACK timing based on the reference HARQ RTT</w:t>
      </w:r>
    </w:p>
    <w:p w14:paraId="6D5BBED5"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how different UE categories are defined</w:t>
      </w:r>
    </w:p>
    <w:p w14:paraId="73B4E67D"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LBRM is taken into account</w:t>
      </w:r>
    </w:p>
    <w:p w14:paraId="7DFB4603" w14:textId="77777777" w:rsidR="00845215" w:rsidRPr="003019FF" w:rsidRDefault="00845215" w:rsidP="003019FF">
      <w:pPr>
        <w:numPr>
          <w:ilvl w:val="0"/>
          <w:numId w:val="30"/>
        </w:numPr>
        <w:overflowPunct/>
        <w:autoSpaceDE/>
        <w:autoSpaceDN/>
        <w:adjustRightInd/>
        <w:spacing w:after="0"/>
        <w:textAlignment w:val="auto"/>
        <w:rPr>
          <w:rFonts w:eastAsia="MS Mincho"/>
          <w:i/>
          <w:iCs/>
          <w:color w:val="FF0000"/>
          <w:sz w:val="18"/>
          <w:szCs w:val="18"/>
          <w:lang w:val="en-US" w:eastAsia="ja-JP"/>
        </w:rPr>
      </w:pPr>
      <w:r w:rsidRPr="003252A4">
        <w:rPr>
          <w:rFonts w:eastAsia="MS Mincho"/>
          <w:i/>
          <w:iCs/>
          <w:color w:val="FF0000"/>
          <w:sz w:val="18"/>
          <w:szCs w:val="18"/>
          <w:lang w:val="en-US" w:eastAsia="ja-JP"/>
        </w:rPr>
        <w:t xml:space="preserve">Maximum number of HARQ processes per carrier supported in NR is 8 or 16 </w:t>
      </w:r>
    </w:p>
    <w:p w14:paraId="2BB9E3FE"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This is at least for the single numerology case and a slot-level scheduling and single-TRxP transmission</w:t>
      </w:r>
    </w:p>
    <w:p w14:paraId="156C4757"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down-selection of 8 or 16</w:t>
      </w:r>
    </w:p>
    <w:p w14:paraId="75F993B1" w14:textId="77777777" w:rsidR="00845215" w:rsidRPr="003019FF" w:rsidRDefault="00845215" w:rsidP="003019FF">
      <w:pPr>
        <w:numPr>
          <w:ilvl w:val="1"/>
          <w:numId w:val="30"/>
        </w:numPr>
        <w:overflowPunct/>
        <w:autoSpaceDE/>
        <w:autoSpaceDN/>
        <w:adjustRightInd/>
        <w:spacing w:after="0"/>
        <w:ind w:left="1434" w:hanging="357"/>
        <w:textAlignment w:val="auto"/>
        <w:rPr>
          <w:rFonts w:eastAsia="MS Mincho"/>
          <w:i/>
          <w:iCs/>
          <w:sz w:val="18"/>
          <w:szCs w:val="18"/>
          <w:lang w:val="en-US" w:eastAsia="ja-JP"/>
        </w:rPr>
      </w:pPr>
      <w:r w:rsidRPr="003252A4">
        <w:rPr>
          <w:rFonts w:eastAsia="MS Mincho"/>
          <w:i/>
          <w:iCs/>
          <w:sz w:val="18"/>
          <w:szCs w:val="18"/>
          <w:lang w:val="en-US" w:eastAsia="ja-JP"/>
        </w:rPr>
        <w:t>FFS: soft-buffer handling</w:t>
      </w:r>
    </w:p>
    <w:p w14:paraId="6047D1ED" w14:textId="018CBE83" w:rsidR="00845215" w:rsidRPr="003019FF" w:rsidRDefault="00845215" w:rsidP="003019FF">
      <w:pPr>
        <w:numPr>
          <w:ilvl w:val="1"/>
          <w:numId w:val="30"/>
        </w:numPr>
        <w:overflowPunct/>
        <w:autoSpaceDE/>
        <w:autoSpaceDN/>
        <w:adjustRightInd/>
        <w:spacing w:after="240"/>
        <w:ind w:left="1434" w:hanging="357"/>
        <w:textAlignment w:val="auto"/>
        <w:rPr>
          <w:rFonts w:eastAsia="MS Mincho"/>
          <w:i/>
          <w:iCs/>
          <w:sz w:val="18"/>
          <w:szCs w:val="18"/>
          <w:lang w:val="en-US" w:eastAsia="ja-JP"/>
        </w:rPr>
      </w:pPr>
      <w:r w:rsidRPr="003252A4">
        <w:rPr>
          <w:rFonts w:eastAsia="MS Mincho"/>
          <w:i/>
          <w:iCs/>
          <w:sz w:val="18"/>
          <w:szCs w:val="18"/>
          <w:lang w:val="en-US" w:eastAsia="ja-JP"/>
        </w:rPr>
        <w:t xml:space="preserve">FFS: the value may be different depending on a certain condition (e.g., subcarrier spacing) </w:t>
      </w:r>
    </w:p>
    <w:p w14:paraId="0D3E18DF" w14:textId="0D8318B3" w:rsidR="008E1475" w:rsidRDefault="00DC413A" w:rsidP="00DC413A">
      <w:pPr>
        <w:spacing w:after="120"/>
        <w:jc w:val="both"/>
        <w:rPr>
          <w:rFonts w:eastAsia="MS Mincho"/>
          <w:lang w:eastAsia="ja-JP"/>
        </w:rPr>
      </w:pPr>
      <w:r>
        <w:rPr>
          <w:rFonts w:eastAsia="MS Mincho"/>
          <w:lang w:eastAsia="ja-JP"/>
        </w:rPr>
        <w:t>In T</w:t>
      </w:r>
      <w:r w:rsidR="00BE7D45">
        <w:rPr>
          <w:rFonts w:eastAsia="MS Mincho"/>
          <w:lang w:eastAsia="ja-JP"/>
        </w:rPr>
        <w:t xml:space="preserve">able </w:t>
      </w:r>
      <w:r w:rsidR="000F05E1">
        <w:rPr>
          <w:rFonts w:eastAsia="MS Mincho"/>
          <w:lang w:eastAsia="ja-JP"/>
        </w:rPr>
        <w:t>2</w:t>
      </w:r>
      <w:r w:rsidR="00BE7D45">
        <w:rPr>
          <w:rFonts w:eastAsia="MS Mincho"/>
          <w:lang w:eastAsia="ja-JP"/>
        </w:rPr>
        <w:t xml:space="preserve"> </w:t>
      </w:r>
      <w:r w:rsidR="00A861D7">
        <w:rPr>
          <w:rFonts w:eastAsia="MS Mincho"/>
          <w:lang w:eastAsia="ja-JP"/>
        </w:rPr>
        <w:t>different HARQ RTTs are examined for different sub-carrier spacings and TTI durations. The following assumptions were made</w:t>
      </w:r>
      <w:r w:rsidR="000861F6">
        <w:rPr>
          <w:rFonts w:eastAsia="MS Mincho"/>
          <w:lang w:eastAsia="ja-JP"/>
        </w:rPr>
        <w:t xml:space="preserve"> in the calculation</w:t>
      </w:r>
      <w:r w:rsidR="0086180D">
        <w:rPr>
          <w:rFonts w:eastAsia="MS Mincho"/>
          <w:lang w:eastAsia="ja-JP"/>
        </w:rPr>
        <w:t>s</w:t>
      </w:r>
      <w:r w:rsidR="00D65821">
        <w:rPr>
          <w:rFonts w:eastAsia="MS Mincho"/>
          <w:lang w:eastAsia="ja-JP"/>
        </w:rPr>
        <w:t>:</w:t>
      </w:r>
    </w:p>
    <w:p w14:paraId="50FE275D" w14:textId="0BA9C87C" w:rsidR="00D65821" w:rsidRDefault="003D2A84" w:rsidP="00A861D7">
      <w:pPr>
        <w:pStyle w:val="ListParagraph"/>
        <w:numPr>
          <w:ilvl w:val="0"/>
          <w:numId w:val="31"/>
        </w:numPr>
        <w:rPr>
          <w:rFonts w:eastAsia="MS Mincho"/>
          <w:sz w:val="20"/>
          <w:szCs w:val="20"/>
          <w:lang w:eastAsia="ja-JP"/>
        </w:rPr>
      </w:pPr>
      <w:r>
        <w:rPr>
          <w:rFonts w:eastAsia="MS Mincho"/>
          <w:sz w:val="20"/>
          <w:szCs w:val="20"/>
          <w:lang w:eastAsia="ja-JP"/>
        </w:rPr>
        <w:t xml:space="preserve">TTI duration: </w:t>
      </w:r>
      <w:r w:rsidR="00D65821">
        <w:rPr>
          <w:rFonts w:eastAsia="MS Mincho"/>
          <w:sz w:val="20"/>
          <w:szCs w:val="20"/>
          <w:lang w:eastAsia="ja-JP"/>
        </w:rPr>
        <w:t>14 and 28 symbols</w:t>
      </w:r>
    </w:p>
    <w:p w14:paraId="4BF1A3AC" w14:textId="5645BB47" w:rsidR="00A861D7" w:rsidRPr="00BE0B81" w:rsidRDefault="00A861D7" w:rsidP="00A861D7">
      <w:pPr>
        <w:pStyle w:val="ListParagraph"/>
        <w:numPr>
          <w:ilvl w:val="0"/>
          <w:numId w:val="31"/>
        </w:numPr>
        <w:rPr>
          <w:rFonts w:eastAsia="MS Mincho"/>
          <w:sz w:val="20"/>
          <w:szCs w:val="20"/>
          <w:lang w:val="en-US" w:eastAsia="ja-JP"/>
        </w:rPr>
      </w:pPr>
      <w:r w:rsidRPr="00BE0B81">
        <w:rPr>
          <w:rFonts w:eastAsia="MS Mincho"/>
          <w:sz w:val="20"/>
          <w:szCs w:val="20"/>
          <w:lang w:val="en-US" w:eastAsia="ja-JP"/>
        </w:rPr>
        <w:t xml:space="preserve">UE processing time: </w:t>
      </w:r>
      <w:r w:rsidR="001809A7">
        <w:rPr>
          <w:rFonts w:eastAsia="MS Mincho"/>
          <w:sz w:val="20"/>
          <w:szCs w:val="20"/>
          <w:lang w:val="en-US" w:eastAsia="ja-JP"/>
        </w:rPr>
        <w:t>following the tent</w:t>
      </w:r>
      <w:r w:rsidR="00522A64">
        <w:rPr>
          <w:rFonts w:eastAsia="MS Mincho"/>
          <w:sz w:val="20"/>
          <w:szCs w:val="20"/>
          <w:lang w:val="en-US" w:eastAsia="ja-JP"/>
        </w:rPr>
        <w:t>ative front loaded + additional DMRS timings from RAN1-#90bis</w:t>
      </w:r>
    </w:p>
    <w:p w14:paraId="5FB08383" w14:textId="638BA9DF" w:rsidR="00A861D7" w:rsidRPr="00BE0B81" w:rsidRDefault="00A861D7" w:rsidP="00A861D7">
      <w:pPr>
        <w:pStyle w:val="ListParagraph"/>
        <w:numPr>
          <w:ilvl w:val="0"/>
          <w:numId w:val="31"/>
        </w:numPr>
        <w:rPr>
          <w:rFonts w:eastAsia="MS Mincho"/>
          <w:sz w:val="20"/>
          <w:szCs w:val="20"/>
          <w:lang w:val="en-US" w:eastAsia="ja-JP"/>
        </w:rPr>
      </w:pPr>
      <w:r w:rsidRPr="00BE0B81">
        <w:rPr>
          <w:rFonts w:eastAsia="MS Mincho"/>
          <w:sz w:val="20"/>
          <w:szCs w:val="20"/>
          <w:lang w:val="en-US" w:eastAsia="ja-JP"/>
        </w:rPr>
        <w:t xml:space="preserve">gNB processing time: </w:t>
      </w:r>
      <w:r w:rsidR="00BE0B81" w:rsidRPr="00BE0B81">
        <w:rPr>
          <w:rFonts w:eastAsia="MS Mincho"/>
          <w:sz w:val="20"/>
          <w:szCs w:val="20"/>
          <w:lang w:val="en-US" w:eastAsia="ja-JP"/>
        </w:rPr>
        <w:t>2 slots + 0.</w:t>
      </w:r>
      <w:r w:rsidR="00BE0B81">
        <w:rPr>
          <w:rFonts w:eastAsia="MS Mincho"/>
          <w:sz w:val="20"/>
          <w:szCs w:val="20"/>
          <w:lang w:val="en-US" w:eastAsia="ja-JP"/>
        </w:rPr>
        <w:t>25</w:t>
      </w:r>
      <w:r w:rsidRPr="00BE0B81">
        <w:rPr>
          <w:rFonts w:eastAsia="MS Mincho"/>
          <w:sz w:val="20"/>
          <w:szCs w:val="20"/>
          <w:lang w:val="en-US" w:eastAsia="ja-JP"/>
        </w:rPr>
        <w:t xml:space="preserve"> ms</w:t>
      </w:r>
    </w:p>
    <w:p w14:paraId="3316644A" w14:textId="05D55C09" w:rsidR="00D65821" w:rsidRPr="00D65821" w:rsidRDefault="00D65821" w:rsidP="00A861D7">
      <w:pPr>
        <w:pStyle w:val="ListParagraph"/>
        <w:numPr>
          <w:ilvl w:val="0"/>
          <w:numId w:val="31"/>
        </w:numPr>
        <w:rPr>
          <w:rFonts w:eastAsia="MS Mincho"/>
          <w:sz w:val="20"/>
          <w:szCs w:val="20"/>
          <w:lang w:val="en-US" w:eastAsia="ja-JP"/>
        </w:rPr>
      </w:pPr>
      <w:r w:rsidRPr="00D65821">
        <w:rPr>
          <w:rFonts w:eastAsia="MS Mincho"/>
          <w:sz w:val="20"/>
          <w:szCs w:val="20"/>
          <w:lang w:val="en-US" w:eastAsia="ja-JP"/>
        </w:rPr>
        <w:t>HARQ-ACK: 1 TTI (long PUCCH)</w:t>
      </w:r>
    </w:p>
    <w:p w14:paraId="3911159C" w14:textId="50FF0DD5" w:rsidR="00D65821" w:rsidRDefault="00D65821" w:rsidP="00A861D7">
      <w:pPr>
        <w:pStyle w:val="ListParagraph"/>
        <w:numPr>
          <w:ilvl w:val="0"/>
          <w:numId w:val="31"/>
        </w:numPr>
        <w:rPr>
          <w:rFonts w:eastAsia="MS Mincho"/>
          <w:sz w:val="20"/>
          <w:szCs w:val="20"/>
          <w:lang w:val="en-US" w:eastAsia="ja-JP"/>
        </w:rPr>
      </w:pPr>
      <w:r>
        <w:rPr>
          <w:rFonts w:eastAsia="MS Mincho"/>
          <w:sz w:val="20"/>
          <w:szCs w:val="20"/>
          <w:lang w:val="en-US" w:eastAsia="ja-JP"/>
        </w:rPr>
        <w:t>Ma</w:t>
      </w:r>
      <w:r w:rsidR="00C646EE">
        <w:rPr>
          <w:rFonts w:eastAsia="MS Mincho"/>
          <w:sz w:val="20"/>
          <w:szCs w:val="20"/>
          <w:lang w:val="en-US" w:eastAsia="ja-JP"/>
        </w:rPr>
        <w:t>x 2-way FH delay: 1 ms</w:t>
      </w:r>
    </w:p>
    <w:p w14:paraId="2B85ED2A" w14:textId="452B5A49" w:rsidR="005839FF" w:rsidRDefault="0086180D" w:rsidP="005839FF">
      <w:pPr>
        <w:pStyle w:val="ListParagraph"/>
        <w:numPr>
          <w:ilvl w:val="0"/>
          <w:numId w:val="31"/>
        </w:numPr>
        <w:rPr>
          <w:rFonts w:eastAsia="MS Mincho"/>
          <w:sz w:val="20"/>
          <w:szCs w:val="20"/>
          <w:lang w:val="en-US" w:eastAsia="ja-JP"/>
        </w:rPr>
      </w:pPr>
      <w:r>
        <w:rPr>
          <w:rFonts w:eastAsia="MS Mincho"/>
          <w:sz w:val="20"/>
          <w:szCs w:val="20"/>
          <w:lang w:val="en-US" w:eastAsia="ja-JP"/>
        </w:rPr>
        <w:t>FDD operation – HARQ-AC</w:t>
      </w:r>
      <w:r w:rsidR="00BE7D45">
        <w:rPr>
          <w:rFonts w:eastAsia="MS Mincho"/>
          <w:sz w:val="20"/>
          <w:szCs w:val="20"/>
          <w:lang w:val="en-US" w:eastAsia="ja-JP"/>
        </w:rPr>
        <w:t>K transmission is possible imme</w:t>
      </w:r>
      <w:r>
        <w:rPr>
          <w:rFonts w:eastAsia="MS Mincho"/>
          <w:sz w:val="20"/>
          <w:szCs w:val="20"/>
          <w:lang w:val="en-US" w:eastAsia="ja-JP"/>
        </w:rPr>
        <w:t>diately</w:t>
      </w:r>
      <w:r w:rsidR="00522A64">
        <w:rPr>
          <w:rFonts w:eastAsia="MS Mincho"/>
          <w:sz w:val="20"/>
          <w:szCs w:val="20"/>
          <w:lang w:val="en-US" w:eastAsia="ja-JP"/>
        </w:rPr>
        <w:t xml:space="preserve"> (no slot boundary quantization delay)</w:t>
      </w:r>
    </w:p>
    <w:p w14:paraId="69BC46B4" w14:textId="77777777" w:rsidR="00D21268" w:rsidRDefault="00D21268" w:rsidP="00D21268">
      <w:pPr>
        <w:pStyle w:val="ListParagraph"/>
        <w:rPr>
          <w:rFonts w:eastAsia="MS Mincho"/>
          <w:sz w:val="20"/>
          <w:szCs w:val="20"/>
          <w:lang w:val="en-US" w:eastAsia="ja-JP"/>
        </w:rPr>
      </w:pPr>
    </w:p>
    <w:p w14:paraId="22D8A9A8" w14:textId="77777777" w:rsidR="00D21268" w:rsidRDefault="00D21268">
      <w:pPr>
        <w:overflowPunct/>
        <w:autoSpaceDE/>
        <w:autoSpaceDN/>
        <w:adjustRightInd/>
        <w:spacing w:after="0"/>
        <w:textAlignment w:val="auto"/>
        <w:rPr>
          <w:rFonts w:eastAsia="MS Mincho"/>
          <w:lang w:val="en-US" w:eastAsia="ja-JP"/>
        </w:rPr>
      </w:pPr>
      <w:r>
        <w:rPr>
          <w:rFonts w:eastAsia="MS Mincho"/>
          <w:lang w:val="en-US" w:eastAsia="ja-JP"/>
        </w:rPr>
        <w:br w:type="page"/>
      </w:r>
    </w:p>
    <w:p w14:paraId="7A115AEF" w14:textId="68A04CFF" w:rsidR="0086180D" w:rsidRPr="00A861D7" w:rsidRDefault="0086180D" w:rsidP="0086180D">
      <w:pPr>
        <w:pStyle w:val="Caption"/>
        <w:keepNext/>
        <w:jc w:val="center"/>
        <w:rPr>
          <w:lang w:val="en-US"/>
        </w:rPr>
      </w:pPr>
      <w:r>
        <w:lastRenderedPageBreak/>
        <w:t xml:space="preserve">Table </w:t>
      </w:r>
      <w:r w:rsidR="009E2730" w:rsidRPr="003019FF">
        <w:fldChar w:fldCharType="begin"/>
      </w:r>
      <w:r w:rsidR="009E2730">
        <w:instrText xml:space="preserve"> SEQ Table \* ARABIC </w:instrText>
      </w:r>
      <w:r w:rsidR="009E2730" w:rsidRPr="003019FF">
        <w:fldChar w:fldCharType="separate"/>
      </w:r>
      <w:r w:rsidR="00B43E74">
        <w:rPr>
          <w:noProof/>
        </w:rPr>
        <w:t>2</w:t>
      </w:r>
      <w:r w:rsidR="009E2730" w:rsidRPr="003019FF">
        <w:fldChar w:fldCharType="end"/>
      </w:r>
      <w:r w:rsidRPr="00A861D7">
        <w:rPr>
          <w:lang w:val="en-US"/>
        </w:rPr>
        <w:t>: Example RTTs with different sub-carrier spacings</w:t>
      </w:r>
    </w:p>
    <w:tbl>
      <w:tblPr>
        <w:tblStyle w:val="TableGrid"/>
        <w:tblW w:w="0" w:type="auto"/>
        <w:tblInd w:w="1348" w:type="dxa"/>
        <w:tblCellMar>
          <w:left w:w="57" w:type="dxa"/>
          <w:right w:w="57" w:type="dxa"/>
        </w:tblCellMar>
        <w:tblLook w:val="04A0" w:firstRow="1" w:lastRow="0" w:firstColumn="1" w:lastColumn="0" w:noHBand="0" w:noVBand="1"/>
      </w:tblPr>
      <w:tblGrid>
        <w:gridCol w:w="2064"/>
        <w:gridCol w:w="524"/>
        <w:gridCol w:w="525"/>
        <w:gridCol w:w="615"/>
        <w:gridCol w:w="615"/>
        <w:gridCol w:w="615"/>
        <w:gridCol w:w="615"/>
        <w:gridCol w:w="615"/>
        <w:gridCol w:w="615"/>
      </w:tblGrid>
      <w:tr w:rsidR="00522A64" w14:paraId="27FD85D7" w14:textId="77777777" w:rsidTr="006107C9">
        <w:tc>
          <w:tcPr>
            <w:tcW w:w="2064" w:type="dxa"/>
            <w:tcBorders>
              <w:top w:val="single" w:sz="12" w:space="0" w:color="auto"/>
              <w:left w:val="single" w:sz="12" w:space="0" w:color="auto"/>
              <w:bottom w:val="single" w:sz="12" w:space="0" w:color="auto"/>
              <w:right w:val="single" w:sz="12" w:space="0" w:color="auto"/>
            </w:tcBorders>
            <w:vAlign w:val="bottom"/>
          </w:tcPr>
          <w:p w14:paraId="555C4823" w14:textId="77777777" w:rsidR="00522A64" w:rsidRPr="003019FF" w:rsidRDefault="00522A64" w:rsidP="006107C9">
            <w:pPr>
              <w:spacing w:after="0"/>
              <w:rPr>
                <w:b/>
                <w:bCs/>
                <w:sz w:val="16"/>
                <w:szCs w:val="16"/>
                <w:lang w:eastAsia="zh-CN"/>
              </w:rPr>
            </w:pPr>
            <w:r w:rsidRPr="003252A4">
              <w:rPr>
                <w:rFonts w:ascii="Calibri" w:hAnsi="Calibri"/>
                <w:b/>
                <w:bCs/>
                <w:color w:val="000000"/>
                <w:sz w:val="16"/>
                <w:szCs w:val="16"/>
              </w:rPr>
              <w:t>Subcarrier spacing</w:t>
            </w:r>
          </w:p>
        </w:tc>
        <w:tc>
          <w:tcPr>
            <w:tcW w:w="1049" w:type="dxa"/>
            <w:gridSpan w:val="2"/>
            <w:tcBorders>
              <w:top w:val="single" w:sz="12" w:space="0" w:color="auto"/>
              <w:left w:val="single" w:sz="12" w:space="0" w:color="auto"/>
              <w:bottom w:val="single" w:sz="12" w:space="0" w:color="auto"/>
              <w:right w:val="single" w:sz="12" w:space="0" w:color="auto"/>
            </w:tcBorders>
          </w:tcPr>
          <w:p w14:paraId="5048377D" w14:textId="77777777" w:rsidR="00522A64" w:rsidRPr="003019FF" w:rsidRDefault="00522A64" w:rsidP="006107C9">
            <w:pPr>
              <w:spacing w:after="0"/>
              <w:jc w:val="center"/>
              <w:rPr>
                <w:b/>
                <w:bCs/>
                <w:sz w:val="16"/>
                <w:szCs w:val="16"/>
                <w:lang w:eastAsia="zh-CN"/>
              </w:rPr>
            </w:pPr>
            <w:r w:rsidRPr="003252A4">
              <w:rPr>
                <w:rFonts w:ascii="Calibri" w:hAnsi="Calibri"/>
                <w:b/>
                <w:bCs/>
                <w:color w:val="000000"/>
                <w:sz w:val="16"/>
                <w:szCs w:val="16"/>
              </w:rPr>
              <w:t>30 kHz</w:t>
            </w:r>
          </w:p>
        </w:tc>
        <w:tc>
          <w:tcPr>
            <w:tcW w:w="1230" w:type="dxa"/>
            <w:gridSpan w:val="2"/>
            <w:tcBorders>
              <w:top w:val="single" w:sz="12" w:space="0" w:color="auto"/>
              <w:left w:val="single" w:sz="12" w:space="0" w:color="auto"/>
              <w:bottom w:val="single" w:sz="12" w:space="0" w:color="auto"/>
              <w:right w:val="single" w:sz="12" w:space="0" w:color="auto"/>
            </w:tcBorders>
            <w:vAlign w:val="bottom"/>
          </w:tcPr>
          <w:p w14:paraId="7D8588E7" w14:textId="77777777" w:rsidR="00522A64" w:rsidRPr="003019FF" w:rsidRDefault="00522A64" w:rsidP="006107C9">
            <w:pPr>
              <w:spacing w:after="0"/>
              <w:jc w:val="center"/>
              <w:rPr>
                <w:b/>
                <w:bCs/>
                <w:sz w:val="16"/>
                <w:szCs w:val="16"/>
                <w:lang w:eastAsia="zh-CN"/>
              </w:rPr>
            </w:pPr>
            <w:r w:rsidRPr="003252A4">
              <w:rPr>
                <w:rFonts w:ascii="Calibri" w:hAnsi="Calibri"/>
                <w:b/>
                <w:bCs/>
                <w:color w:val="000000"/>
                <w:sz w:val="16"/>
                <w:szCs w:val="16"/>
              </w:rPr>
              <w:t>60 kHz</w:t>
            </w:r>
          </w:p>
        </w:tc>
        <w:tc>
          <w:tcPr>
            <w:tcW w:w="2460" w:type="dxa"/>
            <w:gridSpan w:val="4"/>
            <w:tcBorders>
              <w:top w:val="single" w:sz="12" w:space="0" w:color="auto"/>
              <w:left w:val="single" w:sz="12" w:space="0" w:color="auto"/>
              <w:bottom w:val="single" w:sz="12" w:space="0" w:color="auto"/>
              <w:right w:val="single" w:sz="12" w:space="0" w:color="auto"/>
            </w:tcBorders>
            <w:vAlign w:val="bottom"/>
          </w:tcPr>
          <w:p w14:paraId="06E20599" w14:textId="77777777" w:rsidR="00522A64" w:rsidRPr="003019FF" w:rsidRDefault="00522A64" w:rsidP="006107C9">
            <w:pPr>
              <w:spacing w:after="0"/>
              <w:jc w:val="center"/>
              <w:rPr>
                <w:b/>
                <w:bCs/>
                <w:sz w:val="16"/>
                <w:szCs w:val="16"/>
                <w:lang w:eastAsia="zh-CN"/>
              </w:rPr>
            </w:pPr>
            <w:r w:rsidRPr="003252A4">
              <w:rPr>
                <w:rFonts w:ascii="Calibri" w:hAnsi="Calibri"/>
                <w:b/>
                <w:bCs/>
                <w:color w:val="000000"/>
                <w:sz w:val="16"/>
                <w:szCs w:val="16"/>
              </w:rPr>
              <w:t>120 kHz</w:t>
            </w:r>
          </w:p>
        </w:tc>
      </w:tr>
      <w:tr w:rsidR="00522A64" w14:paraId="54EF97D3" w14:textId="77777777" w:rsidTr="006107C9">
        <w:tc>
          <w:tcPr>
            <w:tcW w:w="2064" w:type="dxa"/>
            <w:tcBorders>
              <w:top w:val="single" w:sz="12" w:space="0" w:color="auto"/>
              <w:left w:val="single" w:sz="12" w:space="0" w:color="auto"/>
              <w:right w:val="single" w:sz="12" w:space="0" w:color="auto"/>
            </w:tcBorders>
            <w:vAlign w:val="bottom"/>
          </w:tcPr>
          <w:p w14:paraId="440458FB" w14:textId="77777777" w:rsidR="00522A64" w:rsidRPr="00182972" w:rsidRDefault="00522A64" w:rsidP="006107C9">
            <w:pPr>
              <w:spacing w:after="0"/>
              <w:rPr>
                <w:sz w:val="16"/>
                <w:szCs w:val="16"/>
                <w:lang w:eastAsia="zh-CN"/>
              </w:rPr>
            </w:pPr>
            <w:r w:rsidRPr="00182972">
              <w:rPr>
                <w:rFonts w:ascii="Calibri" w:hAnsi="Calibri"/>
                <w:color w:val="000000"/>
                <w:sz w:val="16"/>
                <w:szCs w:val="16"/>
              </w:rPr>
              <w:t>symbols/TTI</w:t>
            </w:r>
          </w:p>
        </w:tc>
        <w:tc>
          <w:tcPr>
            <w:tcW w:w="524" w:type="dxa"/>
            <w:tcBorders>
              <w:top w:val="single" w:sz="12" w:space="0" w:color="auto"/>
            </w:tcBorders>
            <w:vAlign w:val="bottom"/>
          </w:tcPr>
          <w:p w14:paraId="75D660C9" w14:textId="77777777" w:rsidR="00522A64" w:rsidRPr="00182972" w:rsidRDefault="00522A64" w:rsidP="006107C9">
            <w:pPr>
              <w:spacing w:after="0"/>
              <w:jc w:val="right"/>
              <w:rPr>
                <w:rFonts w:ascii="Calibri" w:hAnsi="Calibri"/>
                <w:sz w:val="16"/>
                <w:szCs w:val="16"/>
              </w:rPr>
            </w:pPr>
            <w:r w:rsidRPr="00182972">
              <w:rPr>
                <w:rFonts w:ascii="Calibri" w:hAnsi="Calibri"/>
                <w:sz w:val="16"/>
                <w:szCs w:val="16"/>
              </w:rPr>
              <w:t>14</w:t>
            </w:r>
          </w:p>
        </w:tc>
        <w:tc>
          <w:tcPr>
            <w:tcW w:w="525" w:type="dxa"/>
            <w:tcBorders>
              <w:top w:val="single" w:sz="12" w:space="0" w:color="auto"/>
              <w:right w:val="single" w:sz="12" w:space="0" w:color="auto"/>
            </w:tcBorders>
            <w:vAlign w:val="bottom"/>
          </w:tcPr>
          <w:p w14:paraId="3C4BE36D" w14:textId="77777777" w:rsidR="00522A64" w:rsidRPr="00182972" w:rsidRDefault="00522A64" w:rsidP="006107C9">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46608F5C" w14:textId="77777777" w:rsidR="00522A64" w:rsidRPr="00182972" w:rsidRDefault="00522A64" w:rsidP="006107C9">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right w:val="single" w:sz="12" w:space="0" w:color="auto"/>
            </w:tcBorders>
            <w:vAlign w:val="bottom"/>
          </w:tcPr>
          <w:p w14:paraId="01689032" w14:textId="77777777" w:rsidR="00522A64" w:rsidRPr="00182972" w:rsidRDefault="00522A64" w:rsidP="006107C9">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left w:val="single" w:sz="12" w:space="0" w:color="auto"/>
            </w:tcBorders>
            <w:vAlign w:val="bottom"/>
          </w:tcPr>
          <w:p w14:paraId="2370847D" w14:textId="77777777" w:rsidR="00522A64" w:rsidRPr="00182972" w:rsidRDefault="00522A64" w:rsidP="006107C9">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2E977D57" w14:textId="77777777" w:rsidR="00522A64" w:rsidRPr="00182972" w:rsidRDefault="00522A64" w:rsidP="006107C9">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04B02DFD" w14:textId="77777777" w:rsidR="00522A64" w:rsidRPr="00182972" w:rsidRDefault="00522A64" w:rsidP="006107C9">
            <w:pPr>
              <w:spacing w:after="0"/>
              <w:jc w:val="right"/>
              <w:rPr>
                <w:sz w:val="16"/>
                <w:szCs w:val="16"/>
                <w:lang w:eastAsia="zh-CN"/>
              </w:rPr>
            </w:pPr>
            <w:r w:rsidRPr="00182972">
              <w:rPr>
                <w:rFonts w:ascii="Calibri" w:hAnsi="Calibri"/>
                <w:sz w:val="16"/>
                <w:szCs w:val="16"/>
              </w:rPr>
              <w:t>28</w:t>
            </w:r>
          </w:p>
        </w:tc>
        <w:tc>
          <w:tcPr>
            <w:tcW w:w="615" w:type="dxa"/>
            <w:tcBorders>
              <w:top w:val="single" w:sz="12" w:space="0" w:color="auto"/>
              <w:right w:val="single" w:sz="12" w:space="0" w:color="auto"/>
            </w:tcBorders>
            <w:vAlign w:val="bottom"/>
          </w:tcPr>
          <w:p w14:paraId="75E107A7" w14:textId="77777777" w:rsidR="00522A64" w:rsidRPr="00182972" w:rsidRDefault="00522A64" w:rsidP="006107C9">
            <w:pPr>
              <w:spacing w:after="0"/>
              <w:jc w:val="right"/>
              <w:rPr>
                <w:sz w:val="16"/>
                <w:szCs w:val="16"/>
                <w:lang w:eastAsia="zh-CN"/>
              </w:rPr>
            </w:pPr>
            <w:r w:rsidRPr="00182972">
              <w:rPr>
                <w:rFonts w:ascii="Calibri" w:hAnsi="Calibri"/>
                <w:sz w:val="16"/>
                <w:szCs w:val="16"/>
              </w:rPr>
              <w:t>28</w:t>
            </w:r>
          </w:p>
        </w:tc>
      </w:tr>
      <w:tr w:rsidR="00522A64" w14:paraId="4200A314" w14:textId="77777777" w:rsidTr="006107C9">
        <w:tc>
          <w:tcPr>
            <w:tcW w:w="2064" w:type="dxa"/>
            <w:tcBorders>
              <w:left w:val="single" w:sz="12" w:space="0" w:color="auto"/>
              <w:right w:val="single" w:sz="12" w:space="0" w:color="auto"/>
            </w:tcBorders>
            <w:vAlign w:val="bottom"/>
          </w:tcPr>
          <w:p w14:paraId="06A06F85" w14:textId="77777777" w:rsidR="00522A64" w:rsidRPr="00182972" w:rsidRDefault="00522A64" w:rsidP="006107C9">
            <w:pPr>
              <w:spacing w:after="0"/>
              <w:rPr>
                <w:sz w:val="16"/>
                <w:szCs w:val="16"/>
                <w:lang w:eastAsia="zh-CN"/>
              </w:rPr>
            </w:pPr>
            <w:r>
              <w:rPr>
                <w:rFonts w:ascii="Calibri" w:hAnsi="Calibri"/>
                <w:color w:val="000000"/>
                <w:sz w:val="16"/>
                <w:szCs w:val="16"/>
              </w:rPr>
              <w:t>TTI</w:t>
            </w:r>
            <w:r w:rsidRPr="00182972">
              <w:rPr>
                <w:rFonts w:ascii="Calibri" w:hAnsi="Calibri"/>
                <w:color w:val="000000"/>
                <w:sz w:val="16"/>
                <w:szCs w:val="16"/>
              </w:rPr>
              <w:t xml:space="preserve"> [ms]</w:t>
            </w:r>
          </w:p>
        </w:tc>
        <w:tc>
          <w:tcPr>
            <w:tcW w:w="524" w:type="dxa"/>
            <w:vAlign w:val="bottom"/>
          </w:tcPr>
          <w:p w14:paraId="53E2EA14" w14:textId="77777777" w:rsidR="00522A64" w:rsidRPr="00182972" w:rsidRDefault="00522A64" w:rsidP="006107C9">
            <w:pPr>
              <w:spacing w:after="0"/>
              <w:jc w:val="right"/>
              <w:rPr>
                <w:rFonts w:ascii="Calibri" w:hAnsi="Calibri"/>
                <w:color w:val="000000"/>
                <w:sz w:val="16"/>
                <w:szCs w:val="16"/>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5</w:t>
            </w:r>
          </w:p>
        </w:tc>
        <w:tc>
          <w:tcPr>
            <w:tcW w:w="525" w:type="dxa"/>
            <w:tcBorders>
              <w:right w:val="single" w:sz="12" w:space="0" w:color="auto"/>
            </w:tcBorders>
            <w:vAlign w:val="bottom"/>
          </w:tcPr>
          <w:p w14:paraId="433AD3E9"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5</w:t>
            </w:r>
          </w:p>
        </w:tc>
        <w:tc>
          <w:tcPr>
            <w:tcW w:w="615" w:type="dxa"/>
            <w:vAlign w:val="bottom"/>
          </w:tcPr>
          <w:p w14:paraId="42E078E5"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right w:val="single" w:sz="12" w:space="0" w:color="auto"/>
            </w:tcBorders>
            <w:vAlign w:val="bottom"/>
          </w:tcPr>
          <w:p w14:paraId="388ACE92"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left w:val="single" w:sz="12" w:space="0" w:color="auto"/>
            </w:tcBorders>
            <w:vAlign w:val="bottom"/>
          </w:tcPr>
          <w:p w14:paraId="402387AA"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2E184952"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74C189FB"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right w:val="single" w:sz="12" w:space="0" w:color="auto"/>
            </w:tcBorders>
            <w:vAlign w:val="bottom"/>
          </w:tcPr>
          <w:p w14:paraId="3FD74F0E"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r>
      <w:tr w:rsidR="00522A64" w14:paraId="0BA8C9FC" w14:textId="77777777" w:rsidTr="006107C9">
        <w:tc>
          <w:tcPr>
            <w:tcW w:w="2064" w:type="dxa"/>
            <w:tcBorders>
              <w:left w:val="single" w:sz="12" w:space="0" w:color="auto"/>
              <w:right w:val="single" w:sz="12" w:space="0" w:color="auto"/>
            </w:tcBorders>
            <w:vAlign w:val="bottom"/>
          </w:tcPr>
          <w:p w14:paraId="2D7D0BAF" w14:textId="77777777" w:rsidR="00522A64" w:rsidRPr="00182972" w:rsidRDefault="00522A64" w:rsidP="006107C9">
            <w:pPr>
              <w:spacing w:after="0"/>
              <w:rPr>
                <w:sz w:val="16"/>
                <w:szCs w:val="16"/>
                <w:lang w:eastAsia="zh-CN"/>
              </w:rPr>
            </w:pPr>
            <w:r>
              <w:rPr>
                <w:rFonts w:ascii="Calibri" w:hAnsi="Calibri"/>
                <w:color w:val="000000"/>
                <w:sz w:val="16"/>
                <w:szCs w:val="16"/>
              </w:rPr>
              <w:t># of HARQ processes</w:t>
            </w:r>
          </w:p>
        </w:tc>
        <w:tc>
          <w:tcPr>
            <w:tcW w:w="524" w:type="dxa"/>
            <w:shd w:val="clear" w:color="auto" w:fill="auto"/>
            <w:vAlign w:val="bottom"/>
          </w:tcPr>
          <w:p w14:paraId="3136151D" w14:textId="77777777" w:rsidR="00522A64" w:rsidRPr="00182972" w:rsidRDefault="00522A64" w:rsidP="006107C9">
            <w:pPr>
              <w:spacing w:after="0"/>
              <w:jc w:val="right"/>
              <w:rPr>
                <w:rFonts w:ascii="Calibri" w:hAnsi="Calibri"/>
                <w:color w:val="000000"/>
                <w:sz w:val="16"/>
                <w:szCs w:val="16"/>
              </w:rPr>
            </w:pPr>
            <w:r w:rsidRPr="00182972">
              <w:rPr>
                <w:rFonts w:ascii="Calibri" w:hAnsi="Calibri"/>
                <w:color w:val="000000"/>
                <w:sz w:val="16"/>
                <w:szCs w:val="16"/>
              </w:rPr>
              <w:t>8</w:t>
            </w:r>
          </w:p>
        </w:tc>
        <w:tc>
          <w:tcPr>
            <w:tcW w:w="525" w:type="dxa"/>
            <w:tcBorders>
              <w:right w:val="single" w:sz="12" w:space="0" w:color="auto"/>
            </w:tcBorders>
            <w:shd w:val="clear" w:color="auto" w:fill="C5E0B3" w:themeFill="accent6" w:themeFillTint="66"/>
            <w:vAlign w:val="bottom"/>
          </w:tcPr>
          <w:p w14:paraId="02D4B987" w14:textId="77777777" w:rsidR="00522A64" w:rsidRPr="00182972" w:rsidRDefault="00522A64" w:rsidP="006107C9">
            <w:pPr>
              <w:spacing w:after="0"/>
              <w:jc w:val="right"/>
              <w:rPr>
                <w:sz w:val="16"/>
                <w:szCs w:val="16"/>
                <w:lang w:eastAsia="zh-CN"/>
              </w:rPr>
            </w:pPr>
            <w:r>
              <w:rPr>
                <w:rFonts w:ascii="Calibri" w:hAnsi="Calibri"/>
                <w:color w:val="000000"/>
                <w:sz w:val="16"/>
                <w:szCs w:val="16"/>
              </w:rPr>
              <w:t>16</w:t>
            </w:r>
          </w:p>
        </w:tc>
        <w:tc>
          <w:tcPr>
            <w:tcW w:w="615" w:type="dxa"/>
            <w:vAlign w:val="bottom"/>
          </w:tcPr>
          <w:p w14:paraId="35DE282A"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8</w:t>
            </w:r>
          </w:p>
        </w:tc>
        <w:tc>
          <w:tcPr>
            <w:tcW w:w="615" w:type="dxa"/>
            <w:tcBorders>
              <w:right w:val="single" w:sz="12" w:space="0" w:color="auto"/>
            </w:tcBorders>
            <w:shd w:val="clear" w:color="auto" w:fill="C5E0B3" w:themeFill="accent6" w:themeFillTint="66"/>
            <w:vAlign w:val="bottom"/>
          </w:tcPr>
          <w:p w14:paraId="26B7AEF9"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16</w:t>
            </w:r>
          </w:p>
        </w:tc>
        <w:tc>
          <w:tcPr>
            <w:tcW w:w="615" w:type="dxa"/>
            <w:tcBorders>
              <w:left w:val="single" w:sz="12" w:space="0" w:color="auto"/>
            </w:tcBorders>
            <w:vAlign w:val="bottom"/>
          </w:tcPr>
          <w:p w14:paraId="6FC05D85"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8</w:t>
            </w:r>
          </w:p>
        </w:tc>
        <w:tc>
          <w:tcPr>
            <w:tcW w:w="615" w:type="dxa"/>
            <w:vAlign w:val="bottom"/>
          </w:tcPr>
          <w:p w14:paraId="41D0BA11"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16</w:t>
            </w:r>
          </w:p>
        </w:tc>
        <w:tc>
          <w:tcPr>
            <w:tcW w:w="615" w:type="dxa"/>
            <w:vAlign w:val="bottom"/>
          </w:tcPr>
          <w:p w14:paraId="7F7EF6AA"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8</w:t>
            </w:r>
          </w:p>
        </w:tc>
        <w:tc>
          <w:tcPr>
            <w:tcW w:w="615" w:type="dxa"/>
            <w:tcBorders>
              <w:right w:val="single" w:sz="12" w:space="0" w:color="auto"/>
            </w:tcBorders>
            <w:shd w:val="clear" w:color="auto" w:fill="C5E0B3" w:themeFill="accent6" w:themeFillTint="66"/>
            <w:vAlign w:val="bottom"/>
          </w:tcPr>
          <w:p w14:paraId="44C9C574"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16</w:t>
            </w:r>
          </w:p>
        </w:tc>
      </w:tr>
      <w:tr w:rsidR="00522A64" w14:paraId="6173B68A" w14:textId="77777777" w:rsidTr="006107C9">
        <w:tc>
          <w:tcPr>
            <w:tcW w:w="2064" w:type="dxa"/>
            <w:tcBorders>
              <w:left w:val="single" w:sz="12" w:space="0" w:color="auto"/>
              <w:right w:val="single" w:sz="12" w:space="0" w:color="auto"/>
            </w:tcBorders>
            <w:vAlign w:val="bottom"/>
          </w:tcPr>
          <w:p w14:paraId="65599007" w14:textId="77777777" w:rsidR="00522A64" w:rsidRPr="00182972" w:rsidRDefault="00522A64" w:rsidP="006107C9">
            <w:pPr>
              <w:spacing w:after="0"/>
              <w:rPr>
                <w:sz w:val="16"/>
                <w:szCs w:val="16"/>
                <w:lang w:eastAsia="zh-CN"/>
              </w:rPr>
            </w:pPr>
            <w:r>
              <w:rPr>
                <w:rFonts w:ascii="Calibri" w:hAnsi="Calibri"/>
                <w:b/>
                <w:bCs/>
                <w:color w:val="000000"/>
                <w:sz w:val="16"/>
                <w:szCs w:val="16"/>
              </w:rPr>
              <w:t xml:space="preserve">Max </w:t>
            </w:r>
            <w:r w:rsidRPr="00182972">
              <w:rPr>
                <w:rFonts w:ascii="Calibri" w:hAnsi="Calibri"/>
                <w:b/>
                <w:bCs/>
                <w:color w:val="000000"/>
                <w:sz w:val="16"/>
                <w:szCs w:val="16"/>
              </w:rPr>
              <w:t>HARQ RTT</w:t>
            </w:r>
            <w:r>
              <w:rPr>
                <w:rFonts w:ascii="Calibri" w:hAnsi="Calibri"/>
                <w:b/>
                <w:bCs/>
                <w:color w:val="000000"/>
                <w:sz w:val="16"/>
                <w:szCs w:val="16"/>
              </w:rPr>
              <w:t xml:space="preserve"> [ms]</w:t>
            </w:r>
          </w:p>
        </w:tc>
        <w:tc>
          <w:tcPr>
            <w:tcW w:w="524" w:type="dxa"/>
            <w:vAlign w:val="bottom"/>
          </w:tcPr>
          <w:p w14:paraId="37F74153" w14:textId="77777777" w:rsidR="00522A64" w:rsidRPr="00182972" w:rsidRDefault="00522A64" w:rsidP="006107C9">
            <w:pPr>
              <w:spacing w:after="0"/>
              <w:jc w:val="right"/>
              <w:rPr>
                <w:rFonts w:ascii="Calibri" w:hAnsi="Calibri"/>
                <w:b/>
                <w:bCs/>
                <w:color w:val="000000"/>
                <w:sz w:val="16"/>
                <w:szCs w:val="16"/>
              </w:rPr>
            </w:pPr>
            <w:r w:rsidRPr="00182972">
              <w:rPr>
                <w:rFonts w:ascii="Calibri" w:hAnsi="Calibri"/>
                <w:b/>
                <w:bCs/>
                <w:color w:val="000000"/>
                <w:sz w:val="16"/>
                <w:szCs w:val="16"/>
              </w:rPr>
              <w:t>4</w:t>
            </w:r>
          </w:p>
        </w:tc>
        <w:tc>
          <w:tcPr>
            <w:tcW w:w="525" w:type="dxa"/>
            <w:tcBorders>
              <w:right w:val="single" w:sz="12" w:space="0" w:color="auto"/>
            </w:tcBorders>
            <w:vAlign w:val="bottom"/>
          </w:tcPr>
          <w:p w14:paraId="2391CC65" w14:textId="77777777" w:rsidR="00522A64" w:rsidRPr="00182972" w:rsidRDefault="00522A64" w:rsidP="006107C9">
            <w:pPr>
              <w:spacing w:after="0"/>
              <w:jc w:val="right"/>
              <w:rPr>
                <w:sz w:val="16"/>
                <w:szCs w:val="16"/>
                <w:lang w:eastAsia="zh-CN"/>
              </w:rPr>
            </w:pPr>
            <w:r>
              <w:rPr>
                <w:rFonts w:ascii="Calibri" w:hAnsi="Calibri"/>
                <w:b/>
                <w:bCs/>
                <w:color w:val="000000"/>
                <w:sz w:val="16"/>
                <w:szCs w:val="16"/>
              </w:rPr>
              <w:t>8</w:t>
            </w:r>
          </w:p>
        </w:tc>
        <w:tc>
          <w:tcPr>
            <w:tcW w:w="615" w:type="dxa"/>
            <w:vAlign w:val="bottom"/>
          </w:tcPr>
          <w:p w14:paraId="2B5AFDDC" w14:textId="77777777" w:rsidR="00522A64" w:rsidRPr="00182972" w:rsidRDefault="00522A64" w:rsidP="006107C9">
            <w:pPr>
              <w:spacing w:after="0"/>
              <w:jc w:val="right"/>
              <w:rPr>
                <w:sz w:val="16"/>
                <w:szCs w:val="16"/>
                <w:lang w:eastAsia="zh-CN"/>
              </w:rPr>
            </w:pPr>
            <w:r w:rsidRPr="00182972">
              <w:rPr>
                <w:rFonts w:ascii="Calibri" w:hAnsi="Calibri"/>
                <w:b/>
                <w:bCs/>
                <w:color w:val="000000"/>
                <w:sz w:val="16"/>
                <w:szCs w:val="16"/>
              </w:rPr>
              <w:t>2</w:t>
            </w:r>
          </w:p>
        </w:tc>
        <w:tc>
          <w:tcPr>
            <w:tcW w:w="615" w:type="dxa"/>
            <w:tcBorders>
              <w:right w:val="single" w:sz="12" w:space="0" w:color="auto"/>
            </w:tcBorders>
            <w:vAlign w:val="bottom"/>
          </w:tcPr>
          <w:p w14:paraId="5CC9991E" w14:textId="77777777" w:rsidR="00522A64" w:rsidRPr="00182972" w:rsidRDefault="00522A64" w:rsidP="006107C9">
            <w:pPr>
              <w:spacing w:after="0"/>
              <w:jc w:val="right"/>
              <w:rPr>
                <w:sz w:val="16"/>
                <w:szCs w:val="16"/>
                <w:lang w:eastAsia="zh-CN"/>
              </w:rPr>
            </w:pPr>
            <w:r w:rsidRPr="00182972">
              <w:rPr>
                <w:rFonts w:ascii="Calibri" w:hAnsi="Calibri"/>
                <w:b/>
                <w:bCs/>
                <w:color w:val="000000"/>
                <w:sz w:val="16"/>
                <w:szCs w:val="16"/>
              </w:rPr>
              <w:t>4</w:t>
            </w:r>
          </w:p>
        </w:tc>
        <w:tc>
          <w:tcPr>
            <w:tcW w:w="615" w:type="dxa"/>
            <w:tcBorders>
              <w:left w:val="single" w:sz="12" w:space="0" w:color="auto"/>
            </w:tcBorders>
            <w:vAlign w:val="bottom"/>
          </w:tcPr>
          <w:p w14:paraId="3D03F694" w14:textId="77777777" w:rsidR="00522A64" w:rsidRPr="00182972" w:rsidRDefault="00522A64" w:rsidP="006107C9">
            <w:pPr>
              <w:spacing w:after="0"/>
              <w:jc w:val="right"/>
              <w:rPr>
                <w:sz w:val="16"/>
                <w:szCs w:val="16"/>
                <w:lang w:eastAsia="zh-CN"/>
              </w:rPr>
            </w:pPr>
            <w:r w:rsidRPr="00182972">
              <w:rPr>
                <w:rFonts w:ascii="Calibri" w:hAnsi="Calibri"/>
                <w:b/>
                <w:bCs/>
                <w:color w:val="000000"/>
                <w:sz w:val="16"/>
                <w:szCs w:val="16"/>
              </w:rPr>
              <w:t>1</w:t>
            </w:r>
          </w:p>
        </w:tc>
        <w:tc>
          <w:tcPr>
            <w:tcW w:w="615" w:type="dxa"/>
            <w:vAlign w:val="bottom"/>
          </w:tcPr>
          <w:p w14:paraId="5C176E12" w14:textId="77777777" w:rsidR="00522A64" w:rsidRPr="00182972" w:rsidRDefault="00522A64" w:rsidP="006107C9">
            <w:pPr>
              <w:spacing w:after="0"/>
              <w:jc w:val="right"/>
              <w:rPr>
                <w:sz w:val="16"/>
                <w:szCs w:val="16"/>
                <w:lang w:eastAsia="zh-CN"/>
              </w:rPr>
            </w:pPr>
            <w:r w:rsidRPr="00182972">
              <w:rPr>
                <w:rFonts w:ascii="Calibri" w:hAnsi="Calibri"/>
                <w:b/>
                <w:bCs/>
                <w:color w:val="000000"/>
                <w:sz w:val="16"/>
                <w:szCs w:val="16"/>
              </w:rPr>
              <w:t>2</w:t>
            </w:r>
          </w:p>
        </w:tc>
        <w:tc>
          <w:tcPr>
            <w:tcW w:w="615" w:type="dxa"/>
            <w:vAlign w:val="bottom"/>
          </w:tcPr>
          <w:p w14:paraId="09E68E5F" w14:textId="77777777" w:rsidR="00522A64" w:rsidRPr="00182972" w:rsidRDefault="00522A64" w:rsidP="006107C9">
            <w:pPr>
              <w:spacing w:after="0"/>
              <w:jc w:val="right"/>
              <w:rPr>
                <w:sz w:val="16"/>
                <w:szCs w:val="16"/>
                <w:lang w:eastAsia="zh-CN"/>
              </w:rPr>
            </w:pPr>
            <w:r w:rsidRPr="00182972">
              <w:rPr>
                <w:rFonts w:ascii="Calibri" w:hAnsi="Calibri"/>
                <w:b/>
                <w:bCs/>
                <w:color w:val="000000"/>
                <w:sz w:val="16"/>
                <w:szCs w:val="16"/>
              </w:rPr>
              <w:t>2</w:t>
            </w:r>
          </w:p>
        </w:tc>
        <w:tc>
          <w:tcPr>
            <w:tcW w:w="615" w:type="dxa"/>
            <w:tcBorders>
              <w:right w:val="single" w:sz="12" w:space="0" w:color="auto"/>
            </w:tcBorders>
            <w:vAlign w:val="bottom"/>
          </w:tcPr>
          <w:p w14:paraId="6CF08037" w14:textId="77777777" w:rsidR="00522A64" w:rsidRPr="00182972" w:rsidRDefault="00522A64" w:rsidP="006107C9">
            <w:pPr>
              <w:spacing w:after="0"/>
              <w:jc w:val="right"/>
              <w:rPr>
                <w:sz w:val="16"/>
                <w:szCs w:val="16"/>
                <w:lang w:eastAsia="zh-CN"/>
              </w:rPr>
            </w:pPr>
            <w:r w:rsidRPr="00182972">
              <w:rPr>
                <w:rFonts w:ascii="Calibri" w:hAnsi="Calibri"/>
                <w:b/>
                <w:bCs/>
                <w:color w:val="000000"/>
                <w:sz w:val="16"/>
                <w:szCs w:val="16"/>
              </w:rPr>
              <w:t>4</w:t>
            </w:r>
          </w:p>
        </w:tc>
      </w:tr>
      <w:tr w:rsidR="00522A64" w14:paraId="3CF13EF7" w14:textId="77777777" w:rsidTr="006107C9">
        <w:tc>
          <w:tcPr>
            <w:tcW w:w="2064" w:type="dxa"/>
            <w:tcBorders>
              <w:left w:val="single" w:sz="12" w:space="0" w:color="auto"/>
              <w:bottom w:val="single" w:sz="12" w:space="0" w:color="auto"/>
              <w:right w:val="single" w:sz="12" w:space="0" w:color="auto"/>
            </w:tcBorders>
            <w:vAlign w:val="bottom"/>
          </w:tcPr>
          <w:p w14:paraId="2F2EB003" w14:textId="77777777" w:rsidR="00522A64" w:rsidRPr="00182972" w:rsidRDefault="00522A64" w:rsidP="006107C9">
            <w:pPr>
              <w:spacing w:after="0"/>
              <w:rPr>
                <w:sz w:val="16"/>
                <w:szCs w:val="16"/>
                <w:lang w:eastAsia="zh-CN"/>
              </w:rPr>
            </w:pPr>
            <w:r>
              <w:rPr>
                <w:rFonts w:ascii="Calibri" w:hAnsi="Calibri"/>
                <w:color w:val="000000"/>
                <w:sz w:val="16"/>
                <w:szCs w:val="16"/>
              </w:rPr>
              <w:t>Cell R</w:t>
            </w:r>
            <w:r w:rsidRPr="00182972">
              <w:rPr>
                <w:rFonts w:ascii="Calibri" w:hAnsi="Calibri"/>
                <w:color w:val="000000"/>
                <w:sz w:val="16"/>
                <w:szCs w:val="16"/>
              </w:rPr>
              <w:t>ange [km]</w:t>
            </w:r>
          </w:p>
        </w:tc>
        <w:tc>
          <w:tcPr>
            <w:tcW w:w="524" w:type="dxa"/>
            <w:tcBorders>
              <w:bottom w:val="single" w:sz="12" w:space="0" w:color="auto"/>
            </w:tcBorders>
            <w:vAlign w:val="bottom"/>
          </w:tcPr>
          <w:p w14:paraId="2D2341CD" w14:textId="77777777" w:rsidR="00522A64" w:rsidRPr="00182972" w:rsidRDefault="00522A64" w:rsidP="006107C9">
            <w:pPr>
              <w:spacing w:after="0"/>
              <w:jc w:val="right"/>
              <w:rPr>
                <w:rFonts w:ascii="Calibri" w:hAnsi="Calibri"/>
                <w:color w:val="000000"/>
                <w:sz w:val="16"/>
                <w:szCs w:val="16"/>
              </w:rPr>
            </w:pPr>
            <w:r w:rsidRPr="00182972">
              <w:rPr>
                <w:rFonts w:ascii="Calibri" w:hAnsi="Calibri"/>
                <w:color w:val="000000"/>
                <w:sz w:val="16"/>
                <w:szCs w:val="16"/>
              </w:rPr>
              <w:t>3</w:t>
            </w:r>
          </w:p>
        </w:tc>
        <w:tc>
          <w:tcPr>
            <w:tcW w:w="525" w:type="dxa"/>
            <w:tcBorders>
              <w:bottom w:val="single" w:sz="12" w:space="0" w:color="auto"/>
              <w:right w:val="single" w:sz="12" w:space="0" w:color="auto"/>
            </w:tcBorders>
            <w:vAlign w:val="bottom"/>
          </w:tcPr>
          <w:p w14:paraId="3CA01FBA"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3</w:t>
            </w:r>
          </w:p>
        </w:tc>
        <w:tc>
          <w:tcPr>
            <w:tcW w:w="615" w:type="dxa"/>
            <w:tcBorders>
              <w:bottom w:val="single" w:sz="12" w:space="0" w:color="auto"/>
            </w:tcBorders>
            <w:vAlign w:val="bottom"/>
          </w:tcPr>
          <w:p w14:paraId="65EDFCA2"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right w:val="single" w:sz="12" w:space="0" w:color="auto"/>
            </w:tcBorders>
            <w:vAlign w:val="bottom"/>
          </w:tcPr>
          <w:p w14:paraId="7601B96D"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1</w:t>
            </w:r>
          </w:p>
        </w:tc>
        <w:tc>
          <w:tcPr>
            <w:tcW w:w="615" w:type="dxa"/>
            <w:tcBorders>
              <w:left w:val="single" w:sz="12" w:space="0" w:color="auto"/>
              <w:bottom w:val="single" w:sz="12" w:space="0" w:color="auto"/>
            </w:tcBorders>
            <w:vAlign w:val="bottom"/>
          </w:tcPr>
          <w:p w14:paraId="3B337DFD"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41752242"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45B02587"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right w:val="single" w:sz="12" w:space="0" w:color="auto"/>
            </w:tcBorders>
            <w:vAlign w:val="bottom"/>
          </w:tcPr>
          <w:p w14:paraId="119C86EF" w14:textId="77777777" w:rsidR="00522A64" w:rsidRPr="00182972" w:rsidRDefault="00522A64" w:rsidP="006107C9">
            <w:pPr>
              <w:spacing w:after="0"/>
              <w:jc w:val="right"/>
              <w:rPr>
                <w:sz w:val="16"/>
                <w:szCs w:val="16"/>
                <w:lang w:eastAsia="zh-CN"/>
              </w:rPr>
            </w:pPr>
            <w:r w:rsidRPr="00182972">
              <w:rPr>
                <w:rFonts w:ascii="Calibri" w:hAnsi="Calibri"/>
                <w:color w:val="000000"/>
                <w:sz w:val="16"/>
                <w:szCs w:val="16"/>
              </w:rPr>
              <w:t>1</w:t>
            </w:r>
          </w:p>
        </w:tc>
      </w:tr>
      <w:tr w:rsidR="00522A64" w14:paraId="21DAED08" w14:textId="77777777" w:rsidTr="006107C9">
        <w:tc>
          <w:tcPr>
            <w:tcW w:w="2064" w:type="dxa"/>
            <w:tcBorders>
              <w:top w:val="single" w:sz="12" w:space="0" w:color="auto"/>
              <w:left w:val="single" w:sz="12" w:space="0" w:color="auto"/>
              <w:right w:val="single" w:sz="12" w:space="0" w:color="auto"/>
            </w:tcBorders>
            <w:vAlign w:val="bottom"/>
          </w:tcPr>
          <w:p w14:paraId="0E094FCB" w14:textId="77777777" w:rsidR="00522A64" w:rsidRPr="00A861D7" w:rsidRDefault="00522A64" w:rsidP="006107C9">
            <w:pPr>
              <w:spacing w:after="0"/>
              <w:rPr>
                <w:sz w:val="16"/>
                <w:szCs w:val="16"/>
                <w:lang w:eastAsia="zh-CN"/>
              </w:rPr>
            </w:pPr>
            <w:r w:rsidRPr="00A861D7">
              <w:rPr>
                <w:rFonts w:ascii="Calibri" w:hAnsi="Calibri"/>
                <w:color w:val="000000"/>
                <w:sz w:val="16"/>
                <w:szCs w:val="16"/>
              </w:rPr>
              <w:t>Propafation RTT [ms]</w:t>
            </w:r>
          </w:p>
        </w:tc>
        <w:tc>
          <w:tcPr>
            <w:tcW w:w="524" w:type="dxa"/>
            <w:tcBorders>
              <w:top w:val="single" w:sz="12" w:space="0" w:color="auto"/>
            </w:tcBorders>
            <w:vAlign w:val="bottom"/>
          </w:tcPr>
          <w:p w14:paraId="1646CBDB" w14:textId="77777777" w:rsidR="00522A64" w:rsidRPr="00A861D7" w:rsidRDefault="00522A64" w:rsidP="006107C9">
            <w:pPr>
              <w:spacing w:after="0"/>
              <w:jc w:val="right"/>
              <w:rPr>
                <w:rFonts w:ascii="Calibri" w:hAnsi="Calibri"/>
                <w:color w:val="000000"/>
                <w:sz w:val="16"/>
                <w:szCs w:val="16"/>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525" w:type="dxa"/>
            <w:tcBorders>
              <w:top w:val="single" w:sz="12" w:space="0" w:color="auto"/>
              <w:right w:val="single" w:sz="12" w:space="0" w:color="auto"/>
            </w:tcBorders>
            <w:vAlign w:val="bottom"/>
          </w:tcPr>
          <w:p w14:paraId="3507515F"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615" w:type="dxa"/>
            <w:tcBorders>
              <w:top w:val="single" w:sz="12" w:space="0" w:color="auto"/>
            </w:tcBorders>
            <w:vAlign w:val="bottom"/>
          </w:tcPr>
          <w:p w14:paraId="74C987EB"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right w:val="single" w:sz="12" w:space="0" w:color="auto"/>
            </w:tcBorders>
            <w:vAlign w:val="bottom"/>
          </w:tcPr>
          <w:p w14:paraId="72703D7A"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left w:val="single" w:sz="12" w:space="0" w:color="auto"/>
            </w:tcBorders>
            <w:vAlign w:val="bottom"/>
          </w:tcPr>
          <w:p w14:paraId="56F35BF1"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511B18AC"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178E5C72"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right w:val="single" w:sz="12" w:space="0" w:color="auto"/>
            </w:tcBorders>
            <w:vAlign w:val="bottom"/>
          </w:tcPr>
          <w:p w14:paraId="4B7D52B6"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r>
      <w:tr w:rsidR="00522A64" w14:paraId="5F321093" w14:textId="77777777" w:rsidTr="006107C9">
        <w:tc>
          <w:tcPr>
            <w:tcW w:w="2064" w:type="dxa"/>
            <w:tcBorders>
              <w:left w:val="single" w:sz="12" w:space="0" w:color="auto"/>
              <w:right w:val="single" w:sz="12" w:space="0" w:color="auto"/>
            </w:tcBorders>
            <w:vAlign w:val="bottom"/>
          </w:tcPr>
          <w:p w14:paraId="66C4085F" w14:textId="77777777" w:rsidR="00522A64" w:rsidRPr="00A861D7" w:rsidRDefault="00522A64" w:rsidP="006107C9">
            <w:pPr>
              <w:spacing w:after="0"/>
              <w:rPr>
                <w:rFonts w:ascii="Calibri" w:hAnsi="Calibri"/>
                <w:color w:val="000000"/>
                <w:sz w:val="16"/>
                <w:szCs w:val="16"/>
              </w:rPr>
            </w:pPr>
            <w:r w:rsidRPr="00A861D7">
              <w:rPr>
                <w:rFonts w:ascii="Calibri" w:hAnsi="Calibri"/>
                <w:color w:val="000000"/>
                <w:sz w:val="16"/>
                <w:szCs w:val="16"/>
              </w:rPr>
              <w:t>Data transmission time [ms]</w:t>
            </w:r>
          </w:p>
        </w:tc>
        <w:tc>
          <w:tcPr>
            <w:tcW w:w="524" w:type="dxa"/>
            <w:vAlign w:val="bottom"/>
          </w:tcPr>
          <w:p w14:paraId="098214C2" w14:textId="77777777" w:rsidR="00522A64" w:rsidRPr="00A861D7" w:rsidRDefault="00522A64" w:rsidP="006107C9">
            <w:pPr>
              <w:spacing w:after="0"/>
              <w:jc w:val="right"/>
              <w:rPr>
                <w:rFonts w:ascii="Calibri" w:hAnsi="Calibri"/>
                <w:color w:val="000000"/>
                <w:sz w:val="16"/>
                <w:szCs w:val="16"/>
              </w:rPr>
            </w:pPr>
            <w:r>
              <w:rPr>
                <w:rFonts w:ascii="Calibri" w:hAnsi="Calibri"/>
                <w:color w:val="000000"/>
                <w:sz w:val="16"/>
                <w:szCs w:val="16"/>
              </w:rPr>
              <w:t>0.</w:t>
            </w:r>
            <w:r w:rsidRPr="00A861D7">
              <w:rPr>
                <w:rFonts w:ascii="Calibri" w:hAnsi="Calibri"/>
                <w:color w:val="000000"/>
                <w:sz w:val="16"/>
                <w:szCs w:val="16"/>
              </w:rPr>
              <w:t>5</w:t>
            </w:r>
          </w:p>
        </w:tc>
        <w:tc>
          <w:tcPr>
            <w:tcW w:w="525" w:type="dxa"/>
            <w:tcBorders>
              <w:right w:val="single" w:sz="12" w:space="0" w:color="auto"/>
            </w:tcBorders>
            <w:vAlign w:val="bottom"/>
          </w:tcPr>
          <w:p w14:paraId="5E630DB2"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5</w:t>
            </w:r>
          </w:p>
        </w:tc>
        <w:tc>
          <w:tcPr>
            <w:tcW w:w="615" w:type="dxa"/>
            <w:vAlign w:val="bottom"/>
          </w:tcPr>
          <w:p w14:paraId="191160D9"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4ABD2FFC"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left w:val="single" w:sz="12" w:space="0" w:color="auto"/>
            </w:tcBorders>
            <w:vAlign w:val="bottom"/>
          </w:tcPr>
          <w:p w14:paraId="56E6B781"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6C1AAB59"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562C6D37"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0166C8CD"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r>
      <w:tr w:rsidR="00522A64" w14:paraId="13B256D1" w14:textId="77777777" w:rsidTr="006107C9">
        <w:tc>
          <w:tcPr>
            <w:tcW w:w="2064" w:type="dxa"/>
            <w:tcBorders>
              <w:left w:val="single" w:sz="12" w:space="0" w:color="auto"/>
              <w:right w:val="single" w:sz="12" w:space="0" w:color="auto"/>
            </w:tcBorders>
            <w:vAlign w:val="bottom"/>
          </w:tcPr>
          <w:p w14:paraId="1EB2C8C6" w14:textId="77777777" w:rsidR="00522A64" w:rsidRPr="00A861D7" w:rsidRDefault="00522A64" w:rsidP="006107C9">
            <w:pPr>
              <w:spacing w:after="0"/>
              <w:rPr>
                <w:sz w:val="16"/>
                <w:szCs w:val="16"/>
                <w:lang w:eastAsia="zh-CN"/>
              </w:rPr>
            </w:pPr>
            <w:r w:rsidRPr="00A861D7">
              <w:rPr>
                <w:rFonts w:ascii="Calibri" w:hAnsi="Calibri"/>
                <w:color w:val="000000"/>
                <w:sz w:val="16"/>
                <w:szCs w:val="16"/>
              </w:rPr>
              <w:t>HARQ-ACK duration [ms]</w:t>
            </w:r>
          </w:p>
        </w:tc>
        <w:tc>
          <w:tcPr>
            <w:tcW w:w="524" w:type="dxa"/>
            <w:vAlign w:val="bottom"/>
          </w:tcPr>
          <w:p w14:paraId="4BCD0C0D" w14:textId="77777777" w:rsidR="00522A64" w:rsidRPr="00A861D7" w:rsidRDefault="00522A64" w:rsidP="006107C9">
            <w:pPr>
              <w:spacing w:after="0"/>
              <w:jc w:val="right"/>
              <w:rPr>
                <w:rFonts w:ascii="Calibri" w:hAnsi="Calibri"/>
                <w:color w:val="000000"/>
                <w:sz w:val="16"/>
                <w:szCs w:val="16"/>
              </w:rPr>
            </w:pPr>
            <w:r>
              <w:rPr>
                <w:rFonts w:ascii="Calibri" w:hAnsi="Calibri"/>
                <w:color w:val="000000"/>
                <w:sz w:val="16"/>
                <w:szCs w:val="16"/>
              </w:rPr>
              <w:t>0.</w:t>
            </w:r>
            <w:r w:rsidRPr="00A861D7">
              <w:rPr>
                <w:rFonts w:ascii="Calibri" w:hAnsi="Calibri"/>
                <w:color w:val="000000"/>
                <w:sz w:val="16"/>
                <w:szCs w:val="16"/>
              </w:rPr>
              <w:t>5</w:t>
            </w:r>
          </w:p>
        </w:tc>
        <w:tc>
          <w:tcPr>
            <w:tcW w:w="525" w:type="dxa"/>
            <w:tcBorders>
              <w:right w:val="single" w:sz="12" w:space="0" w:color="auto"/>
            </w:tcBorders>
            <w:vAlign w:val="bottom"/>
          </w:tcPr>
          <w:p w14:paraId="14542A70"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5</w:t>
            </w:r>
          </w:p>
        </w:tc>
        <w:tc>
          <w:tcPr>
            <w:tcW w:w="615" w:type="dxa"/>
            <w:vAlign w:val="bottom"/>
          </w:tcPr>
          <w:p w14:paraId="7BECCABF"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462B0D34"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left w:val="single" w:sz="12" w:space="0" w:color="auto"/>
            </w:tcBorders>
            <w:vAlign w:val="bottom"/>
          </w:tcPr>
          <w:p w14:paraId="7CA65BA1"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516243B"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0D789EEA"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67752250" w14:textId="77777777" w:rsidR="00522A64" w:rsidRPr="00A861D7" w:rsidRDefault="00522A64" w:rsidP="006107C9">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r>
      <w:tr w:rsidR="00522A64" w14:paraId="3E16DBE5" w14:textId="77777777" w:rsidTr="006107C9">
        <w:tc>
          <w:tcPr>
            <w:tcW w:w="2064" w:type="dxa"/>
            <w:tcBorders>
              <w:left w:val="single" w:sz="12" w:space="0" w:color="auto"/>
              <w:right w:val="single" w:sz="12" w:space="0" w:color="auto"/>
            </w:tcBorders>
            <w:vAlign w:val="bottom"/>
          </w:tcPr>
          <w:p w14:paraId="3BB95E27" w14:textId="77777777" w:rsidR="00522A64" w:rsidRPr="00A861D7" w:rsidRDefault="00522A64" w:rsidP="006107C9">
            <w:pPr>
              <w:spacing w:after="0"/>
              <w:rPr>
                <w:sz w:val="16"/>
                <w:szCs w:val="16"/>
                <w:lang w:eastAsia="zh-CN"/>
              </w:rPr>
            </w:pPr>
            <w:r w:rsidRPr="00A861D7">
              <w:rPr>
                <w:rFonts w:ascii="Calibri" w:hAnsi="Calibri"/>
                <w:color w:val="000000"/>
                <w:sz w:val="16"/>
                <w:szCs w:val="16"/>
              </w:rPr>
              <w:t>UE processing time [ms]</w:t>
            </w:r>
          </w:p>
        </w:tc>
        <w:tc>
          <w:tcPr>
            <w:tcW w:w="524" w:type="dxa"/>
          </w:tcPr>
          <w:p w14:paraId="515DC9EB" w14:textId="77777777" w:rsidR="00522A64" w:rsidRPr="003A12D8" w:rsidRDefault="00522A64" w:rsidP="006107C9">
            <w:pPr>
              <w:spacing w:after="0"/>
              <w:jc w:val="right"/>
              <w:rPr>
                <w:rFonts w:asciiTheme="minorHAnsi" w:hAnsiTheme="minorHAnsi"/>
                <w:sz w:val="16"/>
                <w:szCs w:val="16"/>
              </w:rPr>
            </w:pPr>
            <w:r w:rsidRPr="151C4888">
              <w:rPr>
                <w:rFonts w:asciiTheme="minorHAnsi" w:hAnsiTheme="minorHAnsi"/>
                <w:sz w:val="16"/>
                <w:szCs w:val="16"/>
              </w:rPr>
              <w:t>0.5</w:t>
            </w:r>
          </w:p>
        </w:tc>
        <w:tc>
          <w:tcPr>
            <w:tcW w:w="525" w:type="dxa"/>
            <w:tcBorders>
              <w:right w:val="single" w:sz="12" w:space="0" w:color="auto"/>
            </w:tcBorders>
          </w:tcPr>
          <w:p w14:paraId="16182EB7"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0.5</w:t>
            </w:r>
          </w:p>
        </w:tc>
        <w:tc>
          <w:tcPr>
            <w:tcW w:w="615" w:type="dxa"/>
          </w:tcPr>
          <w:p w14:paraId="38C4DD00"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0.3</w:t>
            </w:r>
          </w:p>
        </w:tc>
        <w:tc>
          <w:tcPr>
            <w:tcW w:w="615" w:type="dxa"/>
            <w:tcBorders>
              <w:right w:val="single" w:sz="12" w:space="0" w:color="auto"/>
            </w:tcBorders>
          </w:tcPr>
          <w:p w14:paraId="735F1D84"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0.3</w:t>
            </w:r>
          </w:p>
        </w:tc>
        <w:tc>
          <w:tcPr>
            <w:tcW w:w="615" w:type="dxa"/>
            <w:tcBorders>
              <w:left w:val="single" w:sz="12" w:space="0" w:color="auto"/>
            </w:tcBorders>
          </w:tcPr>
          <w:p w14:paraId="22FC4CF6"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0.2</w:t>
            </w:r>
          </w:p>
        </w:tc>
        <w:tc>
          <w:tcPr>
            <w:tcW w:w="615" w:type="dxa"/>
          </w:tcPr>
          <w:p w14:paraId="44214485"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0.2</w:t>
            </w:r>
          </w:p>
        </w:tc>
        <w:tc>
          <w:tcPr>
            <w:tcW w:w="615" w:type="dxa"/>
          </w:tcPr>
          <w:p w14:paraId="4B4E8346"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0.2</w:t>
            </w:r>
          </w:p>
        </w:tc>
        <w:tc>
          <w:tcPr>
            <w:tcW w:w="615" w:type="dxa"/>
            <w:tcBorders>
              <w:right w:val="single" w:sz="12" w:space="0" w:color="auto"/>
            </w:tcBorders>
          </w:tcPr>
          <w:p w14:paraId="1E0EEFEB"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0.2</w:t>
            </w:r>
          </w:p>
        </w:tc>
      </w:tr>
      <w:tr w:rsidR="00522A64" w14:paraId="0114233E" w14:textId="77777777" w:rsidTr="006107C9">
        <w:tc>
          <w:tcPr>
            <w:tcW w:w="2064" w:type="dxa"/>
            <w:tcBorders>
              <w:left w:val="single" w:sz="12" w:space="0" w:color="auto"/>
              <w:right w:val="single" w:sz="12" w:space="0" w:color="auto"/>
            </w:tcBorders>
            <w:vAlign w:val="bottom"/>
          </w:tcPr>
          <w:p w14:paraId="0DFEABA6" w14:textId="77777777" w:rsidR="00522A64" w:rsidRPr="00A861D7" w:rsidRDefault="00522A64" w:rsidP="006107C9">
            <w:pPr>
              <w:spacing w:after="0"/>
              <w:rPr>
                <w:sz w:val="16"/>
                <w:szCs w:val="16"/>
                <w:lang w:eastAsia="zh-CN"/>
              </w:rPr>
            </w:pPr>
            <w:r>
              <w:rPr>
                <w:rFonts w:ascii="Calibri" w:hAnsi="Calibri"/>
                <w:color w:val="000000"/>
                <w:sz w:val="16"/>
                <w:szCs w:val="16"/>
              </w:rPr>
              <w:t>g</w:t>
            </w:r>
            <w:r w:rsidRPr="00A861D7">
              <w:rPr>
                <w:rFonts w:ascii="Calibri" w:hAnsi="Calibri"/>
                <w:color w:val="000000"/>
                <w:sz w:val="16"/>
                <w:szCs w:val="16"/>
              </w:rPr>
              <w:t>NB processing time [ms]</w:t>
            </w:r>
          </w:p>
        </w:tc>
        <w:tc>
          <w:tcPr>
            <w:tcW w:w="524" w:type="dxa"/>
          </w:tcPr>
          <w:p w14:paraId="7E0BAF68" w14:textId="77777777" w:rsidR="00522A64" w:rsidRPr="003A12D8" w:rsidRDefault="00522A64" w:rsidP="006107C9">
            <w:pPr>
              <w:spacing w:after="0"/>
              <w:jc w:val="right"/>
              <w:rPr>
                <w:rFonts w:asciiTheme="minorHAnsi" w:hAnsiTheme="minorHAnsi"/>
                <w:sz w:val="16"/>
                <w:szCs w:val="16"/>
              </w:rPr>
            </w:pPr>
            <w:r w:rsidRPr="151C4888">
              <w:rPr>
                <w:rFonts w:asciiTheme="minorHAnsi" w:hAnsiTheme="minorHAnsi"/>
                <w:sz w:val="16"/>
                <w:szCs w:val="16"/>
              </w:rPr>
              <w:t>1.25</w:t>
            </w:r>
          </w:p>
        </w:tc>
        <w:tc>
          <w:tcPr>
            <w:tcW w:w="525" w:type="dxa"/>
            <w:tcBorders>
              <w:right w:val="single" w:sz="12" w:space="0" w:color="auto"/>
            </w:tcBorders>
          </w:tcPr>
          <w:p w14:paraId="21551A26"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1.25</w:t>
            </w:r>
          </w:p>
        </w:tc>
        <w:tc>
          <w:tcPr>
            <w:tcW w:w="615" w:type="dxa"/>
          </w:tcPr>
          <w:p w14:paraId="58D8F6E6"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0.75</w:t>
            </w:r>
          </w:p>
        </w:tc>
        <w:tc>
          <w:tcPr>
            <w:tcW w:w="615" w:type="dxa"/>
            <w:tcBorders>
              <w:right w:val="single" w:sz="12" w:space="0" w:color="auto"/>
            </w:tcBorders>
          </w:tcPr>
          <w:p w14:paraId="1684C041"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0.75</w:t>
            </w:r>
          </w:p>
        </w:tc>
        <w:tc>
          <w:tcPr>
            <w:tcW w:w="615" w:type="dxa"/>
            <w:tcBorders>
              <w:left w:val="single" w:sz="12" w:space="0" w:color="auto"/>
            </w:tcBorders>
          </w:tcPr>
          <w:p w14:paraId="7DD04A43"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0.5</w:t>
            </w:r>
          </w:p>
        </w:tc>
        <w:tc>
          <w:tcPr>
            <w:tcW w:w="615" w:type="dxa"/>
          </w:tcPr>
          <w:p w14:paraId="3ABDE593"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0.5</w:t>
            </w:r>
          </w:p>
        </w:tc>
        <w:tc>
          <w:tcPr>
            <w:tcW w:w="615" w:type="dxa"/>
          </w:tcPr>
          <w:p w14:paraId="221D0E59"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0.75</w:t>
            </w:r>
          </w:p>
        </w:tc>
        <w:tc>
          <w:tcPr>
            <w:tcW w:w="615" w:type="dxa"/>
            <w:tcBorders>
              <w:right w:val="single" w:sz="12" w:space="0" w:color="auto"/>
            </w:tcBorders>
          </w:tcPr>
          <w:p w14:paraId="4FBC2CEB"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0.75</w:t>
            </w:r>
          </w:p>
        </w:tc>
      </w:tr>
      <w:tr w:rsidR="00522A64" w14:paraId="34711146" w14:textId="77777777" w:rsidTr="006107C9">
        <w:tc>
          <w:tcPr>
            <w:tcW w:w="2064" w:type="dxa"/>
            <w:tcBorders>
              <w:left w:val="single" w:sz="12" w:space="0" w:color="auto"/>
              <w:bottom w:val="single" w:sz="12" w:space="0" w:color="auto"/>
              <w:right w:val="single" w:sz="12" w:space="0" w:color="auto"/>
            </w:tcBorders>
            <w:vAlign w:val="bottom"/>
          </w:tcPr>
          <w:p w14:paraId="7C98BC44" w14:textId="77777777" w:rsidR="00522A64" w:rsidRPr="00A861D7" w:rsidRDefault="00522A64" w:rsidP="006107C9">
            <w:pPr>
              <w:spacing w:after="0"/>
              <w:rPr>
                <w:sz w:val="16"/>
                <w:szCs w:val="16"/>
                <w:lang w:eastAsia="zh-CN"/>
              </w:rPr>
            </w:pPr>
            <w:r w:rsidRPr="00A861D7">
              <w:rPr>
                <w:rFonts w:ascii="Calibri" w:hAnsi="Calibri"/>
                <w:color w:val="000000"/>
                <w:sz w:val="16"/>
                <w:szCs w:val="16"/>
              </w:rPr>
              <w:t>FH 2-way delay [ms]</w:t>
            </w:r>
          </w:p>
        </w:tc>
        <w:tc>
          <w:tcPr>
            <w:tcW w:w="524" w:type="dxa"/>
            <w:tcBorders>
              <w:bottom w:val="single" w:sz="12" w:space="0" w:color="auto"/>
            </w:tcBorders>
          </w:tcPr>
          <w:p w14:paraId="0A7B6622" w14:textId="77777777" w:rsidR="00522A64" w:rsidRPr="003A12D8" w:rsidRDefault="00522A64" w:rsidP="006107C9">
            <w:pPr>
              <w:spacing w:after="0"/>
              <w:jc w:val="right"/>
              <w:rPr>
                <w:rFonts w:asciiTheme="minorHAnsi" w:hAnsiTheme="minorHAnsi"/>
                <w:sz w:val="16"/>
                <w:szCs w:val="16"/>
              </w:rPr>
            </w:pPr>
            <w:r w:rsidRPr="151C4888">
              <w:rPr>
                <w:rFonts w:asciiTheme="minorHAnsi" w:hAnsiTheme="minorHAnsi"/>
                <w:sz w:val="16"/>
                <w:szCs w:val="16"/>
              </w:rPr>
              <w:t>1</w:t>
            </w:r>
          </w:p>
        </w:tc>
        <w:tc>
          <w:tcPr>
            <w:tcW w:w="525" w:type="dxa"/>
            <w:tcBorders>
              <w:bottom w:val="single" w:sz="12" w:space="0" w:color="auto"/>
              <w:right w:val="single" w:sz="12" w:space="0" w:color="auto"/>
            </w:tcBorders>
          </w:tcPr>
          <w:p w14:paraId="3B09D4E2"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1</w:t>
            </w:r>
          </w:p>
        </w:tc>
        <w:tc>
          <w:tcPr>
            <w:tcW w:w="615" w:type="dxa"/>
            <w:tcBorders>
              <w:bottom w:val="single" w:sz="12" w:space="0" w:color="auto"/>
            </w:tcBorders>
          </w:tcPr>
          <w:p w14:paraId="0338B43A"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1</w:t>
            </w:r>
          </w:p>
        </w:tc>
        <w:tc>
          <w:tcPr>
            <w:tcW w:w="615" w:type="dxa"/>
            <w:tcBorders>
              <w:bottom w:val="single" w:sz="12" w:space="0" w:color="auto"/>
              <w:right w:val="single" w:sz="12" w:space="0" w:color="auto"/>
            </w:tcBorders>
          </w:tcPr>
          <w:p w14:paraId="3166CB8B"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1</w:t>
            </w:r>
          </w:p>
        </w:tc>
        <w:tc>
          <w:tcPr>
            <w:tcW w:w="615" w:type="dxa"/>
            <w:tcBorders>
              <w:left w:val="single" w:sz="12" w:space="0" w:color="auto"/>
              <w:bottom w:val="single" w:sz="12" w:space="0" w:color="auto"/>
            </w:tcBorders>
          </w:tcPr>
          <w:p w14:paraId="4F9B6F5C"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1</w:t>
            </w:r>
          </w:p>
        </w:tc>
        <w:tc>
          <w:tcPr>
            <w:tcW w:w="615" w:type="dxa"/>
            <w:tcBorders>
              <w:bottom w:val="single" w:sz="12" w:space="0" w:color="auto"/>
            </w:tcBorders>
          </w:tcPr>
          <w:p w14:paraId="190C016E"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1</w:t>
            </w:r>
          </w:p>
        </w:tc>
        <w:tc>
          <w:tcPr>
            <w:tcW w:w="615" w:type="dxa"/>
            <w:tcBorders>
              <w:bottom w:val="single" w:sz="12" w:space="0" w:color="auto"/>
            </w:tcBorders>
          </w:tcPr>
          <w:p w14:paraId="7C9F86BD"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1</w:t>
            </w:r>
          </w:p>
        </w:tc>
        <w:tc>
          <w:tcPr>
            <w:tcW w:w="615" w:type="dxa"/>
            <w:tcBorders>
              <w:bottom w:val="single" w:sz="12" w:space="0" w:color="auto"/>
              <w:right w:val="single" w:sz="12" w:space="0" w:color="auto"/>
            </w:tcBorders>
          </w:tcPr>
          <w:p w14:paraId="0F010031" w14:textId="77777777" w:rsidR="00522A64" w:rsidRPr="003A12D8" w:rsidRDefault="00522A64" w:rsidP="006107C9">
            <w:pPr>
              <w:spacing w:after="0"/>
              <w:jc w:val="right"/>
              <w:rPr>
                <w:rFonts w:asciiTheme="minorHAnsi" w:hAnsiTheme="minorHAnsi"/>
                <w:sz w:val="16"/>
                <w:szCs w:val="16"/>
                <w:lang w:eastAsia="zh-CN"/>
              </w:rPr>
            </w:pPr>
            <w:r w:rsidRPr="151C4888">
              <w:rPr>
                <w:rFonts w:asciiTheme="minorHAnsi" w:hAnsiTheme="minorHAnsi"/>
                <w:sz w:val="16"/>
                <w:szCs w:val="16"/>
              </w:rPr>
              <w:t>1</w:t>
            </w:r>
          </w:p>
        </w:tc>
      </w:tr>
      <w:tr w:rsidR="00522A64" w14:paraId="2AF8CD60" w14:textId="77777777" w:rsidTr="006107C9">
        <w:tc>
          <w:tcPr>
            <w:tcW w:w="2064" w:type="dxa"/>
            <w:tcBorders>
              <w:top w:val="single" w:sz="12" w:space="0" w:color="auto"/>
              <w:left w:val="single" w:sz="12" w:space="0" w:color="auto"/>
              <w:right w:val="single" w:sz="12" w:space="0" w:color="auto"/>
            </w:tcBorders>
            <w:vAlign w:val="bottom"/>
          </w:tcPr>
          <w:p w14:paraId="70B06A1E" w14:textId="77777777" w:rsidR="00522A64" w:rsidRPr="00182972" w:rsidRDefault="00522A64" w:rsidP="006107C9">
            <w:pPr>
              <w:spacing w:after="0"/>
              <w:rPr>
                <w:sz w:val="16"/>
                <w:szCs w:val="16"/>
                <w:lang w:eastAsia="zh-CN"/>
              </w:rPr>
            </w:pPr>
            <w:r w:rsidRPr="00182972">
              <w:rPr>
                <w:rFonts w:ascii="Calibri" w:hAnsi="Calibri"/>
                <w:b/>
                <w:bCs/>
                <w:color w:val="000000"/>
                <w:sz w:val="16"/>
                <w:szCs w:val="16"/>
              </w:rPr>
              <w:t>Loop RTT</w:t>
            </w:r>
            <w:r>
              <w:rPr>
                <w:rFonts w:ascii="Calibri" w:hAnsi="Calibri"/>
                <w:b/>
                <w:bCs/>
                <w:color w:val="000000"/>
                <w:sz w:val="16"/>
                <w:szCs w:val="16"/>
              </w:rPr>
              <w:t xml:space="preserve"> [ms]</w:t>
            </w:r>
          </w:p>
        </w:tc>
        <w:tc>
          <w:tcPr>
            <w:tcW w:w="524" w:type="dxa"/>
            <w:tcBorders>
              <w:top w:val="single" w:sz="12" w:space="0" w:color="auto"/>
            </w:tcBorders>
            <w:vAlign w:val="bottom"/>
          </w:tcPr>
          <w:p w14:paraId="3AE3E9E0" w14:textId="77777777" w:rsidR="00522A64" w:rsidRPr="003A12D8" w:rsidRDefault="00522A64" w:rsidP="006107C9">
            <w:pPr>
              <w:spacing w:after="0"/>
              <w:jc w:val="right"/>
              <w:rPr>
                <w:rFonts w:asciiTheme="minorHAnsi" w:hAnsiTheme="minorHAnsi"/>
                <w:b/>
                <w:bCs/>
                <w:sz w:val="16"/>
                <w:szCs w:val="16"/>
              </w:rPr>
            </w:pPr>
            <w:r w:rsidRPr="000E0569">
              <w:rPr>
                <w:rFonts w:asciiTheme="minorHAnsi" w:hAnsiTheme="minorHAnsi"/>
                <w:b/>
                <w:bCs/>
                <w:sz w:val="16"/>
                <w:szCs w:val="16"/>
              </w:rPr>
              <w:t xml:space="preserve">3.77 </w:t>
            </w:r>
          </w:p>
        </w:tc>
        <w:tc>
          <w:tcPr>
            <w:tcW w:w="525" w:type="dxa"/>
            <w:tcBorders>
              <w:top w:val="single" w:sz="12" w:space="0" w:color="auto"/>
              <w:right w:val="single" w:sz="12" w:space="0" w:color="auto"/>
            </w:tcBorders>
            <w:vAlign w:val="bottom"/>
          </w:tcPr>
          <w:p w14:paraId="548FFC48" w14:textId="77777777" w:rsidR="00522A64" w:rsidRPr="003A12D8" w:rsidRDefault="00522A64" w:rsidP="006107C9">
            <w:pPr>
              <w:spacing w:after="0"/>
              <w:jc w:val="right"/>
              <w:rPr>
                <w:rFonts w:asciiTheme="minorHAnsi" w:hAnsiTheme="minorHAnsi"/>
                <w:b/>
                <w:bCs/>
                <w:sz w:val="16"/>
                <w:szCs w:val="16"/>
              </w:rPr>
            </w:pPr>
            <w:r w:rsidRPr="000E0569">
              <w:rPr>
                <w:rFonts w:asciiTheme="minorHAnsi" w:hAnsiTheme="minorHAnsi"/>
                <w:b/>
                <w:bCs/>
                <w:sz w:val="16"/>
                <w:szCs w:val="16"/>
              </w:rPr>
              <w:t xml:space="preserve">3.77 </w:t>
            </w:r>
          </w:p>
        </w:tc>
        <w:tc>
          <w:tcPr>
            <w:tcW w:w="615" w:type="dxa"/>
            <w:tcBorders>
              <w:top w:val="single" w:sz="12" w:space="0" w:color="auto"/>
            </w:tcBorders>
            <w:vAlign w:val="bottom"/>
          </w:tcPr>
          <w:p w14:paraId="32CE420E" w14:textId="77777777" w:rsidR="00522A64" w:rsidRPr="003A12D8" w:rsidRDefault="00522A64" w:rsidP="006107C9">
            <w:pPr>
              <w:spacing w:after="0"/>
              <w:jc w:val="right"/>
              <w:rPr>
                <w:rFonts w:asciiTheme="minorHAnsi" w:hAnsiTheme="minorHAnsi"/>
                <w:b/>
                <w:bCs/>
                <w:sz w:val="16"/>
                <w:szCs w:val="16"/>
              </w:rPr>
            </w:pPr>
            <w:r w:rsidRPr="000E0569">
              <w:rPr>
                <w:rFonts w:asciiTheme="minorHAnsi" w:hAnsiTheme="minorHAnsi"/>
                <w:b/>
                <w:bCs/>
                <w:sz w:val="16"/>
                <w:szCs w:val="16"/>
              </w:rPr>
              <w:t xml:space="preserve">2.56 </w:t>
            </w:r>
          </w:p>
        </w:tc>
        <w:tc>
          <w:tcPr>
            <w:tcW w:w="615" w:type="dxa"/>
            <w:tcBorders>
              <w:top w:val="single" w:sz="12" w:space="0" w:color="auto"/>
              <w:right w:val="single" w:sz="12" w:space="0" w:color="auto"/>
            </w:tcBorders>
            <w:vAlign w:val="bottom"/>
          </w:tcPr>
          <w:p w14:paraId="2DC8DC24" w14:textId="77777777" w:rsidR="00522A64" w:rsidRPr="003A12D8" w:rsidRDefault="00522A64" w:rsidP="006107C9">
            <w:pPr>
              <w:spacing w:after="0"/>
              <w:jc w:val="right"/>
              <w:rPr>
                <w:rFonts w:asciiTheme="minorHAnsi" w:hAnsiTheme="minorHAnsi"/>
                <w:b/>
                <w:bCs/>
                <w:sz w:val="16"/>
                <w:szCs w:val="16"/>
              </w:rPr>
            </w:pPr>
            <w:r w:rsidRPr="000E0569">
              <w:rPr>
                <w:rFonts w:asciiTheme="minorHAnsi" w:hAnsiTheme="minorHAnsi"/>
                <w:b/>
                <w:bCs/>
                <w:sz w:val="16"/>
                <w:szCs w:val="16"/>
              </w:rPr>
              <w:t xml:space="preserve">2.56 </w:t>
            </w:r>
          </w:p>
        </w:tc>
        <w:tc>
          <w:tcPr>
            <w:tcW w:w="615" w:type="dxa"/>
            <w:tcBorders>
              <w:top w:val="single" w:sz="12" w:space="0" w:color="auto"/>
              <w:left w:val="single" w:sz="12" w:space="0" w:color="auto"/>
            </w:tcBorders>
            <w:vAlign w:val="bottom"/>
          </w:tcPr>
          <w:p w14:paraId="0DB22EBE" w14:textId="77777777" w:rsidR="00522A64" w:rsidRPr="003A12D8" w:rsidRDefault="00522A64" w:rsidP="006107C9">
            <w:pPr>
              <w:spacing w:after="0"/>
              <w:jc w:val="right"/>
              <w:rPr>
                <w:rFonts w:asciiTheme="minorHAnsi" w:hAnsiTheme="minorHAnsi"/>
                <w:b/>
                <w:bCs/>
                <w:sz w:val="16"/>
                <w:szCs w:val="16"/>
              </w:rPr>
            </w:pPr>
            <w:r w:rsidRPr="000E0569">
              <w:rPr>
                <w:rFonts w:asciiTheme="minorHAnsi" w:hAnsiTheme="minorHAnsi"/>
                <w:b/>
                <w:bCs/>
                <w:sz w:val="16"/>
                <w:szCs w:val="16"/>
              </w:rPr>
              <w:t xml:space="preserve">1.96 </w:t>
            </w:r>
          </w:p>
        </w:tc>
        <w:tc>
          <w:tcPr>
            <w:tcW w:w="615" w:type="dxa"/>
            <w:tcBorders>
              <w:top w:val="single" w:sz="12" w:space="0" w:color="auto"/>
            </w:tcBorders>
            <w:vAlign w:val="bottom"/>
          </w:tcPr>
          <w:p w14:paraId="07B7E473" w14:textId="77777777" w:rsidR="00522A64" w:rsidRPr="003A12D8" w:rsidRDefault="00522A64" w:rsidP="006107C9">
            <w:pPr>
              <w:spacing w:after="0"/>
              <w:jc w:val="right"/>
              <w:rPr>
                <w:rFonts w:asciiTheme="minorHAnsi" w:hAnsiTheme="minorHAnsi"/>
                <w:b/>
                <w:bCs/>
                <w:sz w:val="16"/>
                <w:szCs w:val="16"/>
              </w:rPr>
            </w:pPr>
            <w:r w:rsidRPr="000E0569">
              <w:rPr>
                <w:rFonts w:asciiTheme="minorHAnsi" w:hAnsiTheme="minorHAnsi"/>
                <w:b/>
                <w:bCs/>
                <w:sz w:val="16"/>
                <w:szCs w:val="16"/>
              </w:rPr>
              <w:t xml:space="preserve">1.96 </w:t>
            </w:r>
          </w:p>
        </w:tc>
        <w:tc>
          <w:tcPr>
            <w:tcW w:w="615" w:type="dxa"/>
            <w:tcBorders>
              <w:top w:val="single" w:sz="12" w:space="0" w:color="auto"/>
            </w:tcBorders>
            <w:vAlign w:val="bottom"/>
          </w:tcPr>
          <w:p w14:paraId="34C3D6CF" w14:textId="77777777" w:rsidR="00522A64" w:rsidRPr="003A12D8" w:rsidRDefault="00522A64" w:rsidP="006107C9">
            <w:pPr>
              <w:spacing w:after="0"/>
              <w:jc w:val="right"/>
              <w:rPr>
                <w:rFonts w:asciiTheme="minorHAnsi" w:hAnsiTheme="minorHAnsi"/>
                <w:b/>
                <w:bCs/>
                <w:sz w:val="16"/>
                <w:szCs w:val="16"/>
              </w:rPr>
            </w:pPr>
            <w:r w:rsidRPr="000E0569">
              <w:rPr>
                <w:rFonts w:asciiTheme="minorHAnsi" w:hAnsiTheme="minorHAnsi"/>
                <w:b/>
                <w:bCs/>
                <w:sz w:val="16"/>
                <w:szCs w:val="16"/>
              </w:rPr>
              <w:t xml:space="preserve">2.46 </w:t>
            </w:r>
          </w:p>
        </w:tc>
        <w:tc>
          <w:tcPr>
            <w:tcW w:w="615" w:type="dxa"/>
            <w:tcBorders>
              <w:top w:val="single" w:sz="12" w:space="0" w:color="auto"/>
              <w:right w:val="single" w:sz="12" w:space="0" w:color="auto"/>
            </w:tcBorders>
            <w:vAlign w:val="bottom"/>
          </w:tcPr>
          <w:p w14:paraId="5814A488" w14:textId="77777777" w:rsidR="00522A64" w:rsidRPr="003A12D8" w:rsidRDefault="00522A64" w:rsidP="006107C9">
            <w:pPr>
              <w:spacing w:after="0"/>
              <w:jc w:val="right"/>
              <w:rPr>
                <w:rFonts w:asciiTheme="minorHAnsi" w:hAnsiTheme="minorHAnsi"/>
                <w:b/>
                <w:bCs/>
                <w:sz w:val="16"/>
                <w:szCs w:val="16"/>
              </w:rPr>
            </w:pPr>
            <w:r w:rsidRPr="000E0569">
              <w:rPr>
                <w:rFonts w:asciiTheme="minorHAnsi" w:hAnsiTheme="minorHAnsi"/>
                <w:b/>
                <w:bCs/>
                <w:sz w:val="16"/>
                <w:szCs w:val="16"/>
              </w:rPr>
              <w:t xml:space="preserve">2.46 </w:t>
            </w:r>
          </w:p>
        </w:tc>
      </w:tr>
      <w:tr w:rsidR="00522A64" w14:paraId="1C61BF9D" w14:textId="77777777" w:rsidTr="006107C9">
        <w:tc>
          <w:tcPr>
            <w:tcW w:w="2064" w:type="dxa"/>
            <w:tcBorders>
              <w:left w:val="single" w:sz="12" w:space="0" w:color="auto"/>
              <w:bottom w:val="single" w:sz="12" w:space="0" w:color="auto"/>
              <w:right w:val="single" w:sz="12" w:space="0" w:color="auto"/>
            </w:tcBorders>
            <w:vAlign w:val="bottom"/>
          </w:tcPr>
          <w:p w14:paraId="25EB98CB" w14:textId="77777777" w:rsidR="00522A64" w:rsidRPr="00182972" w:rsidRDefault="00522A64" w:rsidP="006107C9">
            <w:pPr>
              <w:spacing w:after="0"/>
              <w:rPr>
                <w:sz w:val="16"/>
                <w:szCs w:val="16"/>
                <w:lang w:eastAsia="zh-CN"/>
              </w:rPr>
            </w:pPr>
            <w:r w:rsidRPr="00182972">
              <w:rPr>
                <w:rFonts w:ascii="Calibri" w:hAnsi="Calibri"/>
                <w:color w:val="000000"/>
                <w:sz w:val="16"/>
                <w:szCs w:val="16"/>
              </w:rPr>
              <w:t>Margin</w:t>
            </w:r>
            <w:r>
              <w:rPr>
                <w:rFonts w:ascii="Calibri" w:hAnsi="Calibri"/>
                <w:color w:val="000000"/>
                <w:sz w:val="16"/>
                <w:szCs w:val="16"/>
              </w:rPr>
              <w:t>[ms]</w:t>
            </w:r>
          </w:p>
        </w:tc>
        <w:tc>
          <w:tcPr>
            <w:tcW w:w="524" w:type="dxa"/>
            <w:tcBorders>
              <w:bottom w:val="single" w:sz="12" w:space="0" w:color="auto"/>
            </w:tcBorders>
            <w:vAlign w:val="bottom"/>
          </w:tcPr>
          <w:p w14:paraId="5A517112" w14:textId="77777777" w:rsidR="00522A64" w:rsidRPr="003A12D8" w:rsidRDefault="00522A64" w:rsidP="006107C9">
            <w:pPr>
              <w:spacing w:after="0"/>
              <w:jc w:val="right"/>
              <w:rPr>
                <w:rFonts w:asciiTheme="minorHAnsi" w:hAnsiTheme="minorHAnsi"/>
                <w:sz w:val="16"/>
                <w:szCs w:val="16"/>
              </w:rPr>
            </w:pPr>
            <w:r w:rsidRPr="151C4888">
              <w:rPr>
                <w:rFonts w:asciiTheme="minorHAnsi" w:hAnsiTheme="minorHAnsi"/>
                <w:sz w:val="16"/>
                <w:szCs w:val="16"/>
              </w:rPr>
              <w:t xml:space="preserve">0.23 </w:t>
            </w:r>
          </w:p>
        </w:tc>
        <w:tc>
          <w:tcPr>
            <w:tcW w:w="525" w:type="dxa"/>
            <w:tcBorders>
              <w:bottom w:val="single" w:sz="12" w:space="0" w:color="auto"/>
              <w:right w:val="single" w:sz="12" w:space="0" w:color="auto"/>
            </w:tcBorders>
            <w:vAlign w:val="bottom"/>
          </w:tcPr>
          <w:p w14:paraId="016BAAC4" w14:textId="77777777" w:rsidR="00522A64" w:rsidRPr="003A12D8" w:rsidRDefault="00522A64" w:rsidP="006107C9">
            <w:pPr>
              <w:spacing w:after="0"/>
              <w:jc w:val="right"/>
              <w:rPr>
                <w:rFonts w:asciiTheme="minorHAnsi" w:hAnsiTheme="minorHAnsi"/>
                <w:sz w:val="16"/>
                <w:szCs w:val="16"/>
              </w:rPr>
            </w:pPr>
            <w:r w:rsidRPr="151C4888">
              <w:rPr>
                <w:rFonts w:asciiTheme="minorHAnsi" w:hAnsiTheme="minorHAnsi"/>
                <w:sz w:val="16"/>
                <w:szCs w:val="16"/>
              </w:rPr>
              <w:t xml:space="preserve">4.23 </w:t>
            </w:r>
          </w:p>
        </w:tc>
        <w:tc>
          <w:tcPr>
            <w:tcW w:w="615" w:type="dxa"/>
            <w:tcBorders>
              <w:bottom w:val="single" w:sz="12" w:space="0" w:color="auto"/>
            </w:tcBorders>
            <w:vAlign w:val="bottom"/>
          </w:tcPr>
          <w:p w14:paraId="1A82D1E9" w14:textId="77777777" w:rsidR="00522A64" w:rsidRPr="003A12D8" w:rsidRDefault="00522A64" w:rsidP="006107C9">
            <w:pPr>
              <w:spacing w:after="0"/>
              <w:jc w:val="right"/>
              <w:rPr>
                <w:rFonts w:asciiTheme="minorHAnsi" w:hAnsiTheme="minorHAnsi"/>
                <w:sz w:val="16"/>
                <w:szCs w:val="16"/>
              </w:rPr>
            </w:pPr>
            <w:r w:rsidRPr="151C4888">
              <w:rPr>
                <w:rFonts w:asciiTheme="minorHAnsi" w:hAnsiTheme="minorHAnsi"/>
                <w:color w:val="FF0000"/>
                <w:sz w:val="16"/>
                <w:szCs w:val="16"/>
              </w:rPr>
              <w:t xml:space="preserve">-0.56 </w:t>
            </w:r>
          </w:p>
        </w:tc>
        <w:tc>
          <w:tcPr>
            <w:tcW w:w="615" w:type="dxa"/>
            <w:tcBorders>
              <w:bottom w:val="single" w:sz="12" w:space="0" w:color="auto"/>
              <w:right w:val="single" w:sz="12" w:space="0" w:color="auto"/>
            </w:tcBorders>
            <w:vAlign w:val="bottom"/>
          </w:tcPr>
          <w:p w14:paraId="27BB8DAC" w14:textId="77777777" w:rsidR="00522A64" w:rsidRPr="003A12D8" w:rsidRDefault="00522A64" w:rsidP="006107C9">
            <w:pPr>
              <w:spacing w:after="0"/>
              <w:jc w:val="right"/>
              <w:rPr>
                <w:rFonts w:asciiTheme="minorHAnsi" w:hAnsiTheme="minorHAnsi"/>
                <w:sz w:val="16"/>
                <w:szCs w:val="16"/>
              </w:rPr>
            </w:pPr>
            <w:r w:rsidRPr="151C4888">
              <w:rPr>
                <w:rFonts w:asciiTheme="minorHAnsi" w:hAnsiTheme="minorHAnsi"/>
                <w:sz w:val="16"/>
                <w:szCs w:val="16"/>
              </w:rPr>
              <w:t xml:space="preserve">1.44 </w:t>
            </w:r>
          </w:p>
        </w:tc>
        <w:tc>
          <w:tcPr>
            <w:tcW w:w="615" w:type="dxa"/>
            <w:tcBorders>
              <w:left w:val="single" w:sz="12" w:space="0" w:color="auto"/>
              <w:bottom w:val="single" w:sz="12" w:space="0" w:color="auto"/>
            </w:tcBorders>
            <w:vAlign w:val="bottom"/>
          </w:tcPr>
          <w:p w14:paraId="6136BD09" w14:textId="77777777" w:rsidR="00522A64" w:rsidRPr="003A12D8" w:rsidRDefault="00522A64" w:rsidP="006107C9">
            <w:pPr>
              <w:spacing w:after="0"/>
              <w:jc w:val="right"/>
              <w:rPr>
                <w:rFonts w:asciiTheme="minorHAnsi" w:hAnsiTheme="minorHAnsi"/>
                <w:sz w:val="16"/>
                <w:szCs w:val="16"/>
              </w:rPr>
            </w:pPr>
            <w:r w:rsidRPr="151C4888">
              <w:rPr>
                <w:rFonts w:asciiTheme="minorHAnsi" w:hAnsiTheme="minorHAnsi"/>
                <w:color w:val="FF0000"/>
                <w:sz w:val="16"/>
                <w:szCs w:val="16"/>
              </w:rPr>
              <w:t xml:space="preserve">-0.96 </w:t>
            </w:r>
          </w:p>
        </w:tc>
        <w:tc>
          <w:tcPr>
            <w:tcW w:w="615" w:type="dxa"/>
            <w:tcBorders>
              <w:bottom w:val="single" w:sz="12" w:space="0" w:color="auto"/>
            </w:tcBorders>
            <w:vAlign w:val="bottom"/>
          </w:tcPr>
          <w:p w14:paraId="0BFEF7A6" w14:textId="77777777" w:rsidR="00522A64" w:rsidRPr="003A12D8" w:rsidRDefault="00522A64" w:rsidP="006107C9">
            <w:pPr>
              <w:spacing w:after="0"/>
              <w:jc w:val="right"/>
              <w:rPr>
                <w:rFonts w:asciiTheme="minorHAnsi" w:hAnsiTheme="minorHAnsi"/>
                <w:sz w:val="16"/>
                <w:szCs w:val="16"/>
              </w:rPr>
            </w:pPr>
            <w:r w:rsidRPr="151C4888">
              <w:rPr>
                <w:rFonts w:asciiTheme="minorHAnsi" w:hAnsiTheme="minorHAnsi"/>
                <w:sz w:val="16"/>
                <w:szCs w:val="16"/>
              </w:rPr>
              <w:t xml:space="preserve">0.04 </w:t>
            </w:r>
          </w:p>
        </w:tc>
        <w:tc>
          <w:tcPr>
            <w:tcW w:w="615" w:type="dxa"/>
            <w:tcBorders>
              <w:bottom w:val="single" w:sz="12" w:space="0" w:color="auto"/>
            </w:tcBorders>
            <w:vAlign w:val="bottom"/>
          </w:tcPr>
          <w:p w14:paraId="4F6F505A" w14:textId="77777777" w:rsidR="00522A64" w:rsidRPr="003A12D8" w:rsidRDefault="00522A64" w:rsidP="006107C9">
            <w:pPr>
              <w:spacing w:after="0"/>
              <w:jc w:val="right"/>
              <w:rPr>
                <w:rFonts w:asciiTheme="minorHAnsi" w:hAnsiTheme="minorHAnsi"/>
                <w:sz w:val="16"/>
                <w:szCs w:val="16"/>
              </w:rPr>
            </w:pPr>
            <w:r w:rsidRPr="151C4888">
              <w:rPr>
                <w:rFonts w:asciiTheme="minorHAnsi" w:hAnsiTheme="minorHAnsi"/>
                <w:color w:val="FF0000"/>
                <w:sz w:val="16"/>
                <w:szCs w:val="16"/>
              </w:rPr>
              <w:t xml:space="preserve">-0.46 </w:t>
            </w:r>
          </w:p>
        </w:tc>
        <w:tc>
          <w:tcPr>
            <w:tcW w:w="615" w:type="dxa"/>
            <w:tcBorders>
              <w:bottom w:val="single" w:sz="12" w:space="0" w:color="auto"/>
              <w:right w:val="single" w:sz="12" w:space="0" w:color="auto"/>
            </w:tcBorders>
            <w:vAlign w:val="bottom"/>
          </w:tcPr>
          <w:p w14:paraId="7C6A7D9C" w14:textId="77777777" w:rsidR="00522A64" w:rsidRPr="003A12D8" w:rsidRDefault="00522A64" w:rsidP="006107C9">
            <w:pPr>
              <w:spacing w:after="0"/>
              <w:jc w:val="right"/>
              <w:rPr>
                <w:rFonts w:asciiTheme="minorHAnsi" w:hAnsiTheme="minorHAnsi"/>
                <w:sz w:val="16"/>
                <w:szCs w:val="16"/>
              </w:rPr>
            </w:pPr>
            <w:r w:rsidRPr="151C4888">
              <w:rPr>
                <w:rFonts w:asciiTheme="minorHAnsi" w:hAnsiTheme="minorHAnsi"/>
                <w:sz w:val="16"/>
                <w:szCs w:val="16"/>
              </w:rPr>
              <w:t xml:space="preserve">1.54 </w:t>
            </w:r>
          </w:p>
        </w:tc>
      </w:tr>
    </w:tbl>
    <w:p w14:paraId="3DC68482" w14:textId="40BBA85B" w:rsidR="00522A64" w:rsidRDefault="00522A64" w:rsidP="001C66EE">
      <w:pPr>
        <w:spacing w:after="0"/>
        <w:rPr>
          <w:lang w:eastAsia="zh-CN"/>
        </w:rPr>
      </w:pPr>
    </w:p>
    <w:p w14:paraId="10457B75" w14:textId="0842F8F5" w:rsidR="0086180D" w:rsidRPr="00522A64" w:rsidRDefault="00522A64" w:rsidP="00DC413A">
      <w:pPr>
        <w:jc w:val="both"/>
        <w:rPr>
          <w:i/>
          <w:lang w:eastAsia="zh-CN"/>
        </w:rPr>
      </w:pPr>
      <w:r w:rsidRPr="00522A64">
        <w:rPr>
          <w:b/>
          <w:i/>
          <w:lang w:eastAsia="zh-CN"/>
        </w:rPr>
        <w:t>Observation</w:t>
      </w:r>
      <w:r w:rsidR="006107C9">
        <w:rPr>
          <w:b/>
          <w:i/>
          <w:lang w:eastAsia="zh-CN"/>
        </w:rPr>
        <w:t xml:space="preserve"> #</w:t>
      </w:r>
      <w:r w:rsidR="001B15FC">
        <w:rPr>
          <w:b/>
          <w:i/>
          <w:lang w:eastAsia="zh-CN"/>
        </w:rPr>
        <w:t>2</w:t>
      </w:r>
      <w:r w:rsidRPr="00522A64">
        <w:rPr>
          <w:i/>
          <w:lang w:eastAsia="zh-CN"/>
        </w:rPr>
        <w:t xml:space="preserve">: It </w:t>
      </w:r>
      <w:r w:rsidR="0086180D" w:rsidRPr="00522A64">
        <w:rPr>
          <w:i/>
          <w:lang w:eastAsia="zh-CN"/>
        </w:rPr>
        <w:t>appear</w:t>
      </w:r>
      <w:r w:rsidRPr="00522A64">
        <w:rPr>
          <w:i/>
          <w:lang w:eastAsia="zh-CN"/>
        </w:rPr>
        <w:t>s</w:t>
      </w:r>
      <w:r w:rsidR="0086180D" w:rsidRPr="00522A64">
        <w:rPr>
          <w:i/>
          <w:lang w:eastAsia="zh-CN"/>
        </w:rPr>
        <w:t xml:space="preserve"> that 8 processes won’t be sufficient in all cases to support contiguous transmission to one UE</w:t>
      </w:r>
      <w:r w:rsidR="00BE7D45" w:rsidRPr="00522A64">
        <w:rPr>
          <w:i/>
          <w:lang w:eastAsia="zh-CN"/>
        </w:rPr>
        <w:t>.</w:t>
      </w:r>
    </w:p>
    <w:p w14:paraId="4E4575A7" w14:textId="68B6CB45" w:rsidR="00AB3139" w:rsidRPr="00DD65F6" w:rsidRDefault="00AB3139" w:rsidP="001C66EE">
      <w:pPr>
        <w:spacing w:line="276" w:lineRule="auto"/>
        <w:jc w:val="both"/>
        <w:rPr>
          <w:i/>
          <w:iCs/>
          <w:lang w:val="en-US"/>
        </w:rPr>
      </w:pPr>
      <w:r w:rsidRPr="00830CA4">
        <w:rPr>
          <w:b/>
          <w:bCs/>
          <w:i/>
          <w:lang w:val="en-US"/>
        </w:rPr>
        <w:t>Proposal #1</w:t>
      </w:r>
      <w:r w:rsidR="006107C9">
        <w:rPr>
          <w:b/>
          <w:bCs/>
          <w:i/>
          <w:lang w:val="en-US"/>
        </w:rPr>
        <w:t>2</w:t>
      </w:r>
      <w:r w:rsidRPr="00830CA4">
        <w:rPr>
          <w:b/>
          <w:bCs/>
          <w:i/>
          <w:lang w:val="en-US"/>
        </w:rPr>
        <w:t>:</w:t>
      </w:r>
      <w:r w:rsidRPr="00E541B0">
        <w:rPr>
          <w:b/>
          <w:bCs/>
          <w:lang w:val="en-US"/>
        </w:rPr>
        <w:t xml:space="preserve"> </w:t>
      </w:r>
      <w:r w:rsidRPr="003252A4">
        <w:rPr>
          <w:i/>
          <w:iCs/>
          <w:lang w:val="en-US"/>
        </w:rPr>
        <w:t>The maximum number of supported HARQ processes per carrier and per MIMO CW is common to all UEs capable of supporting mobile broadband services, and the value is fixed in the specification.</w:t>
      </w:r>
    </w:p>
    <w:p w14:paraId="18D9CC07" w14:textId="47A100D7" w:rsidR="00AB3139" w:rsidRPr="00522A64" w:rsidRDefault="00AB3139" w:rsidP="00522A64">
      <w:pPr>
        <w:spacing w:after="200" w:line="276" w:lineRule="auto"/>
        <w:jc w:val="both"/>
        <w:rPr>
          <w:i/>
          <w:iCs/>
          <w:lang w:val="en-US"/>
        </w:rPr>
      </w:pPr>
      <w:r w:rsidRPr="00830CA4">
        <w:rPr>
          <w:b/>
          <w:bCs/>
          <w:i/>
          <w:lang w:val="en-US"/>
        </w:rPr>
        <w:t>Proposal #1</w:t>
      </w:r>
      <w:r w:rsidR="006107C9">
        <w:rPr>
          <w:b/>
          <w:bCs/>
          <w:i/>
          <w:lang w:val="en-US"/>
        </w:rPr>
        <w:t>3</w:t>
      </w:r>
      <w:r w:rsidRPr="00830CA4">
        <w:rPr>
          <w:b/>
          <w:bCs/>
          <w:i/>
          <w:lang w:val="en-US"/>
        </w:rPr>
        <w:t>:</w:t>
      </w:r>
      <w:r w:rsidRPr="00E541B0">
        <w:rPr>
          <w:b/>
          <w:bCs/>
          <w:lang w:val="en-US"/>
        </w:rPr>
        <w:t xml:space="preserve"> </w:t>
      </w:r>
      <w:r w:rsidRPr="003252A4">
        <w:rPr>
          <w:i/>
          <w:iCs/>
          <w:lang w:val="en-US"/>
        </w:rPr>
        <w:t>Allocate 4 bits for HARQ process number indication per carrier and per MIMO CW in the DCI for both downlink and uplink</w:t>
      </w:r>
      <w:r w:rsidR="008205B2">
        <w:rPr>
          <w:i/>
          <w:iCs/>
          <w:lang w:val="en-US"/>
        </w:rPr>
        <w:t>, and support a maximum of 16 HARQ processes per CW.</w:t>
      </w:r>
    </w:p>
    <w:p w14:paraId="5C36E3BE" w14:textId="4490AD52" w:rsidR="0034111C" w:rsidRDefault="00251EAE">
      <w:pPr>
        <w:pStyle w:val="Heading1"/>
        <w:rPr>
          <w:color w:val="000000"/>
        </w:rPr>
      </w:pPr>
      <w:r>
        <w:rPr>
          <w:color w:val="000000"/>
        </w:rPr>
        <w:t>5</w:t>
      </w:r>
      <w:r w:rsidR="003252A4">
        <w:rPr>
          <w:color w:val="000000"/>
        </w:rPr>
        <w:t xml:space="preserve">  </w:t>
      </w:r>
      <w:r w:rsidR="00EE7FA7" w:rsidRPr="00A51522">
        <w:rPr>
          <w:color w:val="000000"/>
        </w:rPr>
        <w:t>Conclusion</w:t>
      </w:r>
      <w:r w:rsidR="00DB39D4" w:rsidRPr="00A51522">
        <w:rPr>
          <w:color w:val="000000"/>
        </w:rPr>
        <w:t>s</w:t>
      </w:r>
      <w:r w:rsidR="00E37779">
        <w:rPr>
          <w:color w:val="000000"/>
        </w:rPr>
        <w:t xml:space="preserve"> </w:t>
      </w:r>
    </w:p>
    <w:p w14:paraId="10BED68F" w14:textId="7D55F8F4" w:rsidR="00F64AFE" w:rsidRDefault="00F64AFE" w:rsidP="00DC413A">
      <w:pPr>
        <w:jc w:val="both"/>
      </w:pPr>
      <w:bookmarkStart w:id="3" w:name="_Hlk492897650"/>
      <w:r>
        <w:t>In this contribution</w:t>
      </w:r>
      <w:r w:rsidR="00CC6A4F">
        <w:t>, we considered</w:t>
      </w:r>
      <w:r>
        <w:t xml:space="preserve"> </w:t>
      </w:r>
      <w:r w:rsidR="0029703E">
        <w:t xml:space="preserve">HARQ feedback timing, HARQ feedback determination and </w:t>
      </w:r>
      <w:r>
        <w:t>number of HARQ processes</w:t>
      </w:r>
      <w:r w:rsidR="00CC6A4F">
        <w:t xml:space="preserve"> and </w:t>
      </w:r>
      <w:r>
        <w:t>made</w:t>
      </w:r>
      <w:r w:rsidR="00CC6A4F">
        <w:t xml:space="preserve"> following proposals</w:t>
      </w:r>
      <w:r w:rsidR="006107C9">
        <w:t>.</w:t>
      </w:r>
    </w:p>
    <w:p w14:paraId="5AF54EA3" w14:textId="0A94BB3F" w:rsidR="0029703E" w:rsidRPr="0029703E" w:rsidRDefault="0029703E" w:rsidP="0029703E">
      <w:r w:rsidRPr="0029703E">
        <w:t>Proposals</w:t>
      </w:r>
      <w:r>
        <w:t xml:space="preserve"> and observation </w:t>
      </w:r>
      <w:r w:rsidRPr="0029703E">
        <w:t>on the HARQ feedback</w:t>
      </w:r>
      <w:r>
        <w:t xml:space="preserve"> timing</w:t>
      </w:r>
      <w:r w:rsidRPr="0029703E">
        <w:t>:</w:t>
      </w:r>
    </w:p>
    <w:p w14:paraId="08BD7013" w14:textId="77777777" w:rsidR="00B43E74" w:rsidRDefault="00B43E74">
      <w:pPr>
        <w:overflowPunct/>
        <w:autoSpaceDE/>
        <w:autoSpaceDN/>
        <w:adjustRightInd/>
        <w:textAlignment w:val="auto"/>
        <w:rPr>
          <w:rFonts w:eastAsia="MS Mincho"/>
          <w:i/>
          <w:iCs/>
          <w:lang w:val="en-US" w:eastAsia="ja-JP"/>
        </w:rPr>
      </w:pPr>
      <w:r w:rsidRPr="003252A4">
        <w:rPr>
          <w:rFonts w:eastAsia="MS Mincho"/>
          <w:b/>
          <w:bCs/>
          <w:i/>
          <w:iCs/>
          <w:lang w:val="en-US" w:eastAsia="ja-JP"/>
        </w:rPr>
        <w:t>Proposal #</w:t>
      </w:r>
      <w:r>
        <w:rPr>
          <w:rFonts w:eastAsia="MS Mincho"/>
          <w:b/>
          <w:bCs/>
          <w:i/>
          <w:iCs/>
          <w:lang w:val="en-US" w:eastAsia="ja-JP"/>
        </w:rPr>
        <w:t>1</w:t>
      </w:r>
      <w:r w:rsidRPr="003252A4">
        <w:rPr>
          <w:rFonts w:eastAsia="MS Mincho"/>
          <w:b/>
          <w:bCs/>
          <w:i/>
          <w:iCs/>
          <w:lang w:val="en-US" w:eastAsia="ja-JP"/>
        </w:rPr>
        <w:t xml:space="preserve">: </w:t>
      </w:r>
      <w:r>
        <w:rPr>
          <w:rFonts w:eastAsia="MS Mincho"/>
          <w:i/>
          <w:iCs/>
          <w:lang w:val="en-US" w:eastAsia="ja-JP"/>
        </w:rPr>
        <w:t>T</w:t>
      </w:r>
      <w:r w:rsidRPr="00711B57">
        <w:rPr>
          <w:rFonts w:eastAsia="MS Mincho"/>
          <w:i/>
          <w:iCs/>
          <w:lang w:val="en-US" w:eastAsia="ja-JP"/>
        </w:rPr>
        <w:t>iming between DL data transmission and acknowledgement is determined based</w:t>
      </w:r>
      <w:r>
        <w:rPr>
          <w:rFonts w:eastAsia="MS Mincho"/>
          <w:i/>
          <w:iCs/>
          <w:lang w:val="en-US" w:eastAsia="ja-JP"/>
        </w:rPr>
        <w:t xml:space="preserve"> on</w:t>
      </w:r>
      <w:r w:rsidRPr="00711B57">
        <w:rPr>
          <w:rFonts w:eastAsia="MS Mincho"/>
          <w:i/>
          <w:iCs/>
          <w:lang w:val="en-US" w:eastAsia="ja-JP"/>
        </w:rPr>
        <w:t xml:space="preserve"> </w:t>
      </w:r>
      <w:r w:rsidRPr="003042EA">
        <w:rPr>
          <w:rFonts w:eastAsia="MS Mincho"/>
          <w:i/>
          <w:strike/>
          <w:lang w:val="en-US" w:eastAsia="ja-JP"/>
        </w:rPr>
        <w:t>0 or</w:t>
      </w:r>
      <w:r w:rsidRPr="003042EA">
        <w:rPr>
          <w:rFonts w:eastAsia="MS Mincho"/>
          <w:strike/>
          <w:lang w:val="en-US" w:eastAsia="ja-JP"/>
        </w:rPr>
        <w:t xml:space="preserve"> </w:t>
      </w:r>
      <w:r w:rsidRPr="003042EA">
        <w:rPr>
          <w:rFonts w:eastAsia="MS Mincho"/>
          <w:i/>
          <w:strike/>
          <w:lang w:val="en-US" w:eastAsia="ja-JP"/>
        </w:rPr>
        <w:t>[2]</w:t>
      </w:r>
      <w:r>
        <w:rPr>
          <w:rFonts w:eastAsia="MS Mincho"/>
          <w:i/>
          <w:strike/>
          <w:lang w:val="en-US" w:eastAsia="ja-JP"/>
        </w:rPr>
        <w:t>bits</w:t>
      </w:r>
      <w:r>
        <w:rPr>
          <w:rFonts w:eastAsia="MS Mincho"/>
          <w:i/>
          <w:lang w:val="en-US" w:eastAsia="ja-JP"/>
        </w:rPr>
        <w:t xml:space="preserve"> </w:t>
      </w:r>
      <w:r w:rsidRPr="003042EA">
        <w:rPr>
          <w:rFonts w:eastAsia="MS Mincho"/>
          <w:i/>
          <w:iCs/>
          <w:color w:val="FF0000"/>
          <w:lang w:val="en-US" w:eastAsia="ja-JP"/>
        </w:rPr>
        <w:t>up-to 3 bits</w:t>
      </w:r>
      <w:r w:rsidRPr="00711B57">
        <w:rPr>
          <w:rFonts w:eastAsia="MS Mincho"/>
          <w:i/>
          <w:iCs/>
          <w:lang w:val="en-US" w:eastAsia="ja-JP"/>
        </w:rPr>
        <w:t xml:space="preserve"> in DCI</w:t>
      </w:r>
    </w:p>
    <w:p w14:paraId="2C33EAFE" w14:textId="77777777" w:rsidR="00B43E74" w:rsidRDefault="00B43E74">
      <w:pPr>
        <w:overflowPunct/>
        <w:autoSpaceDE/>
        <w:autoSpaceDN/>
        <w:adjustRightInd/>
        <w:textAlignment w:val="auto"/>
        <w:rPr>
          <w:rFonts w:eastAsia="MS Mincho"/>
          <w:i/>
          <w:iCs/>
          <w:lang w:val="en-US" w:eastAsia="ja-JP"/>
        </w:rPr>
      </w:pPr>
      <w:r w:rsidRPr="003252A4">
        <w:rPr>
          <w:rFonts w:eastAsia="MS Mincho"/>
          <w:b/>
          <w:bCs/>
          <w:i/>
          <w:iCs/>
          <w:lang w:val="en-US" w:eastAsia="ja-JP"/>
        </w:rPr>
        <w:t>Proposal #</w:t>
      </w:r>
      <w:r>
        <w:rPr>
          <w:rFonts w:eastAsia="MS Mincho"/>
          <w:b/>
          <w:bCs/>
          <w:i/>
          <w:iCs/>
          <w:lang w:val="en-US" w:eastAsia="ja-JP"/>
        </w:rPr>
        <w:t>2</w:t>
      </w:r>
      <w:r w:rsidRPr="003252A4">
        <w:rPr>
          <w:rFonts w:eastAsia="MS Mincho"/>
          <w:b/>
          <w:bCs/>
          <w:i/>
          <w:iCs/>
          <w:lang w:val="en-US" w:eastAsia="ja-JP"/>
        </w:rPr>
        <w:t xml:space="preserve">: </w:t>
      </w:r>
      <w:r>
        <w:rPr>
          <w:rFonts w:eastAsia="MS Mincho"/>
          <w:i/>
          <w:iCs/>
          <w:lang w:val="en-US" w:eastAsia="ja-JP"/>
        </w:rPr>
        <w:t xml:space="preserve">In case of slot based operation, up-to 3 bits in DCI indicate </w:t>
      </w:r>
      <w:r w:rsidRPr="003042EA">
        <w:rPr>
          <w:rFonts w:eastAsia="MS Mincho"/>
          <w:i/>
          <w:iCs/>
          <w:u w:val="single"/>
          <w:lang w:val="en-US" w:eastAsia="ja-JP"/>
        </w:rPr>
        <w:t>only</w:t>
      </w:r>
      <w:r>
        <w:rPr>
          <w:rFonts w:eastAsia="MS Mincho"/>
          <w:i/>
          <w:iCs/>
          <w:lang w:val="en-US" w:eastAsia="ja-JP"/>
        </w:rPr>
        <w:t xml:space="preserve"> K1 (slots), i.e. delay</w:t>
      </w:r>
      <w:r w:rsidRPr="008C3453">
        <w:rPr>
          <w:rFonts w:eastAsia="MS Mincho"/>
          <w:i/>
          <w:iCs/>
          <w:lang w:val="en-US" w:eastAsia="ja-JP"/>
        </w:rPr>
        <w:t xml:space="preserve"> between DL data (PDSCH) reception and corresponding acknow</w:t>
      </w:r>
      <w:r>
        <w:rPr>
          <w:rFonts w:eastAsia="MS Mincho"/>
          <w:i/>
          <w:iCs/>
          <w:lang w:val="en-US" w:eastAsia="ja-JP"/>
        </w:rPr>
        <w:t>ledgement transmission in UL.</w:t>
      </w:r>
    </w:p>
    <w:p w14:paraId="5ECACC6B" w14:textId="77777777" w:rsidR="00B43E74" w:rsidRDefault="00B43E74">
      <w:pPr>
        <w:overflowPunct/>
        <w:autoSpaceDE/>
        <w:autoSpaceDN/>
        <w:adjustRightInd/>
        <w:textAlignment w:val="auto"/>
        <w:rPr>
          <w:rFonts w:eastAsia="MS Mincho"/>
          <w:i/>
          <w:iCs/>
          <w:lang w:val="en-US" w:eastAsia="ja-JP"/>
        </w:rPr>
      </w:pPr>
      <w:r w:rsidRPr="003252A4">
        <w:rPr>
          <w:rFonts w:eastAsia="MS Mincho"/>
          <w:b/>
          <w:bCs/>
          <w:i/>
          <w:iCs/>
          <w:lang w:val="en-US" w:eastAsia="ja-JP"/>
        </w:rPr>
        <w:t>Proposal #</w:t>
      </w:r>
      <w:r>
        <w:rPr>
          <w:rFonts w:eastAsia="MS Mincho"/>
          <w:b/>
          <w:bCs/>
          <w:i/>
          <w:iCs/>
          <w:lang w:val="en-US" w:eastAsia="ja-JP"/>
        </w:rPr>
        <w:t>3</w:t>
      </w:r>
      <w:r w:rsidRPr="003252A4">
        <w:rPr>
          <w:rFonts w:eastAsia="MS Mincho"/>
          <w:b/>
          <w:bCs/>
          <w:i/>
          <w:iCs/>
          <w:lang w:val="en-US" w:eastAsia="ja-JP"/>
        </w:rPr>
        <w:t xml:space="preserve">: </w:t>
      </w:r>
      <w:r>
        <w:rPr>
          <w:rFonts w:eastAsia="MS Mincho"/>
          <w:i/>
          <w:iCs/>
          <w:lang w:val="en-US" w:eastAsia="ja-JP"/>
        </w:rPr>
        <w:t xml:space="preserve">In case of non-slot based operation, up-to 3 bits in DCI indicate </w:t>
      </w:r>
      <w:r w:rsidRPr="008C3453">
        <w:rPr>
          <w:rFonts w:eastAsia="MS Mincho"/>
          <w:i/>
          <w:iCs/>
          <w:lang w:val="en-US" w:eastAsia="ja-JP"/>
        </w:rPr>
        <w:t>the symbol(s) for the HARQ-ACK transmission</w:t>
      </w:r>
      <w:r>
        <w:rPr>
          <w:rFonts w:eastAsia="MS Mincho"/>
          <w:i/>
          <w:iCs/>
          <w:lang w:val="en-US" w:eastAsia="ja-JP"/>
        </w:rPr>
        <w:t>.</w:t>
      </w:r>
    </w:p>
    <w:p w14:paraId="70CAEB3D" w14:textId="62AB50EE" w:rsidR="00B43E74" w:rsidRDefault="00B43E74" w:rsidP="00754993">
      <w:pPr>
        <w:overflowPunct/>
        <w:autoSpaceDE/>
        <w:autoSpaceDN/>
        <w:adjustRightInd/>
        <w:textAlignment w:val="auto"/>
        <w:rPr>
          <w:rFonts w:eastAsia="MS Mincho"/>
          <w:lang w:val="en-US" w:eastAsia="ja-JP"/>
        </w:rPr>
      </w:pPr>
      <w:r w:rsidRPr="003252A4">
        <w:rPr>
          <w:rFonts w:eastAsia="MS Mincho"/>
          <w:b/>
          <w:bCs/>
          <w:i/>
          <w:iCs/>
          <w:lang w:val="en-US" w:eastAsia="ja-JP"/>
        </w:rPr>
        <w:t>Proposal #</w:t>
      </w:r>
      <w:r>
        <w:rPr>
          <w:rFonts w:eastAsia="MS Mincho"/>
          <w:b/>
          <w:bCs/>
          <w:i/>
          <w:iCs/>
          <w:lang w:val="en-US" w:eastAsia="ja-JP"/>
        </w:rPr>
        <w:t>4</w:t>
      </w:r>
      <w:r w:rsidRPr="003252A4">
        <w:rPr>
          <w:rFonts w:eastAsia="MS Mincho"/>
          <w:b/>
          <w:bCs/>
          <w:i/>
          <w:iCs/>
          <w:lang w:val="en-US" w:eastAsia="ja-JP"/>
        </w:rPr>
        <w:t xml:space="preserve">: </w:t>
      </w:r>
      <w:r>
        <w:rPr>
          <w:rFonts w:eastAsia="MS Mincho"/>
          <w:i/>
          <w:iCs/>
          <w:lang w:val="en-US" w:eastAsia="ja-JP"/>
        </w:rPr>
        <w:t xml:space="preserve">At least one value from the set of values </w:t>
      </w:r>
      <w:r w:rsidR="00EB678D">
        <w:rPr>
          <w:rFonts w:eastAsia="MS Mincho"/>
          <w:i/>
          <w:iCs/>
          <w:lang w:val="en-US" w:eastAsia="ja-JP"/>
        </w:rPr>
        <w:t xml:space="preserve">for </w:t>
      </w:r>
      <w:r w:rsidRPr="003252A4">
        <w:rPr>
          <w:rFonts w:eastAsia="MS Mincho"/>
          <w:i/>
          <w:iCs/>
          <w:lang w:val="en-US" w:eastAsia="ja-JP"/>
        </w:rPr>
        <w:t xml:space="preserve">K1 </w:t>
      </w:r>
      <w:r>
        <w:rPr>
          <w:rFonts w:eastAsia="MS Mincho"/>
          <w:i/>
          <w:iCs/>
          <w:lang w:val="en-US" w:eastAsia="ja-JP"/>
        </w:rPr>
        <w:t>is predefined</w:t>
      </w:r>
      <w:r w:rsidRPr="003252A4">
        <w:rPr>
          <w:rFonts w:eastAsia="MS Mincho"/>
          <w:i/>
          <w:iCs/>
          <w:lang w:val="en-US" w:eastAsia="ja-JP"/>
        </w:rPr>
        <w:t>.</w:t>
      </w:r>
    </w:p>
    <w:p w14:paraId="7E3411B3" w14:textId="33D173B7" w:rsidR="0029703E" w:rsidRDefault="0029703E" w:rsidP="003019FF">
      <w:pPr>
        <w:spacing w:before="360"/>
      </w:pPr>
      <w:r w:rsidRPr="0029703E">
        <w:t>Proposals</w:t>
      </w:r>
      <w:r>
        <w:t xml:space="preserve"> </w:t>
      </w:r>
      <w:r w:rsidRPr="0029703E">
        <w:t>on the HARQ feedback determination:</w:t>
      </w:r>
    </w:p>
    <w:p w14:paraId="5882A8D0" w14:textId="77777777" w:rsidR="00B43E74" w:rsidRPr="003C21BC" w:rsidRDefault="00B43E74">
      <w:pPr>
        <w:jc w:val="both"/>
        <w:rPr>
          <w:rFonts w:eastAsiaTheme="minorEastAsia"/>
          <w:i/>
          <w:lang w:val="en-US" w:eastAsia="zh-CN"/>
        </w:rPr>
      </w:pPr>
      <w:r w:rsidRPr="003252A4">
        <w:rPr>
          <w:b/>
          <w:bCs/>
          <w:i/>
          <w:iCs/>
        </w:rPr>
        <w:t>Proposal #</w:t>
      </w:r>
      <w:r>
        <w:rPr>
          <w:b/>
          <w:bCs/>
          <w:i/>
          <w:iCs/>
        </w:rPr>
        <w:t>5</w:t>
      </w:r>
      <w:r w:rsidRPr="003252A4">
        <w:rPr>
          <w:b/>
          <w:bCs/>
          <w:i/>
          <w:iCs/>
        </w:rPr>
        <w:t>:</w:t>
      </w:r>
      <w:r>
        <w:rPr>
          <w:rFonts w:eastAsia="MS Mincho"/>
          <w:lang w:val="en-US" w:eastAsia="ja-JP"/>
        </w:rPr>
        <w:t xml:space="preserve"> </w:t>
      </w:r>
      <w:r w:rsidRPr="003C21BC">
        <w:rPr>
          <w:rFonts w:eastAsia="MS Mincho"/>
          <w:i/>
          <w:lang w:val="en-US" w:eastAsia="ja-JP"/>
        </w:rPr>
        <w:t xml:space="preserve">In the case of semi-static HARQ-ACK codebook, the </w:t>
      </w:r>
      <w:r>
        <w:rPr>
          <w:rFonts w:eastAsia="MS Mincho"/>
          <w:i/>
          <w:lang w:val="en-US" w:eastAsia="ja-JP"/>
        </w:rPr>
        <w:t>DL association set is</w:t>
      </w:r>
      <w:r w:rsidRPr="003C21BC">
        <w:rPr>
          <w:rFonts w:eastAsia="MS Mincho"/>
          <w:i/>
          <w:lang w:val="en-US" w:eastAsia="ja-JP"/>
        </w:rPr>
        <w:t xml:space="preserve"> determined based on the configured maximum and minimum HARQ-ACK timing values.</w:t>
      </w:r>
    </w:p>
    <w:p w14:paraId="27931F3C" w14:textId="77777777" w:rsidR="00B43E74" w:rsidRPr="003C21BC" w:rsidRDefault="00B43E74">
      <w:pPr>
        <w:spacing w:after="0"/>
        <w:jc w:val="both"/>
      </w:pPr>
      <w:r w:rsidRPr="003252A4">
        <w:rPr>
          <w:b/>
          <w:bCs/>
          <w:i/>
          <w:iCs/>
          <w:lang w:val="en-US"/>
        </w:rPr>
        <w:t>Proposal</w:t>
      </w:r>
      <w:r w:rsidRPr="003252A4">
        <w:rPr>
          <w:b/>
          <w:bCs/>
          <w:i/>
          <w:iCs/>
        </w:rPr>
        <w:t xml:space="preserve"> #</w:t>
      </w:r>
      <w:r>
        <w:rPr>
          <w:b/>
          <w:bCs/>
          <w:i/>
          <w:iCs/>
        </w:rPr>
        <w:t>6</w:t>
      </w:r>
      <w:r w:rsidRPr="003252A4">
        <w:rPr>
          <w:b/>
          <w:bCs/>
          <w:i/>
          <w:iCs/>
        </w:rPr>
        <w:t xml:space="preserve">: </w:t>
      </w:r>
      <w:r w:rsidRPr="003C21BC">
        <w:rPr>
          <w:bCs/>
          <w:i/>
          <w:iCs/>
        </w:rPr>
        <w:t>In the case of dynamic HARQ-ACK codebook</w:t>
      </w:r>
      <w:r w:rsidRPr="003C21BC">
        <w:t xml:space="preserve">, </w:t>
      </w:r>
    </w:p>
    <w:p w14:paraId="52221B4F" w14:textId="04A26915" w:rsidR="00B43E74" w:rsidRPr="003C21BC" w:rsidRDefault="00B43E74" w:rsidP="00754993">
      <w:pPr>
        <w:pStyle w:val="ListParagraph"/>
        <w:numPr>
          <w:ilvl w:val="0"/>
          <w:numId w:val="68"/>
        </w:numPr>
        <w:spacing w:after="180"/>
        <w:jc w:val="both"/>
        <w:rPr>
          <w:bCs/>
          <w:i/>
          <w:iCs/>
          <w:sz w:val="20"/>
          <w:lang w:val="en-GB" w:eastAsia="en-US"/>
        </w:rPr>
      </w:pPr>
      <w:r w:rsidRPr="003C21BC">
        <w:rPr>
          <w:sz w:val="20"/>
          <w:szCs w:val="20"/>
          <w:lang w:val="en-US"/>
        </w:rPr>
        <w:t>2</w:t>
      </w:r>
      <w:r w:rsidRPr="003C21BC">
        <w:rPr>
          <w:i/>
          <w:sz w:val="20"/>
          <w:szCs w:val="20"/>
          <w:lang w:val="en-US"/>
        </w:rPr>
        <w:t xml:space="preserve">-bit </w:t>
      </w:r>
      <w:r w:rsidRPr="003C21BC">
        <w:rPr>
          <w:bCs/>
          <w:i/>
          <w:iCs/>
          <w:sz w:val="20"/>
          <w:szCs w:val="20"/>
          <w:lang w:val="en-US"/>
        </w:rPr>
        <w:t xml:space="preserve">Counter DAI is </w:t>
      </w:r>
      <w:r w:rsidR="00A62EBF">
        <w:rPr>
          <w:bCs/>
          <w:i/>
          <w:iCs/>
          <w:sz w:val="20"/>
          <w:szCs w:val="20"/>
          <w:lang w:val="en-US"/>
        </w:rPr>
        <w:t>incremented per scheduled PDSCH</w:t>
      </w:r>
      <w:r w:rsidRPr="003C21BC">
        <w:rPr>
          <w:bCs/>
          <w:i/>
          <w:iCs/>
          <w:sz w:val="20"/>
          <w:szCs w:val="20"/>
          <w:lang w:val="en-US"/>
        </w:rPr>
        <w:t xml:space="preserve"> and represents the number of PDSCHs scheduled within the</w:t>
      </w:r>
      <w:r w:rsidRPr="003C21BC">
        <w:rPr>
          <w:bCs/>
          <w:i/>
          <w:iCs/>
          <w:sz w:val="20"/>
          <w:lang w:val="en-US"/>
        </w:rPr>
        <w:t xml:space="preserve"> DL association set up to that PDSCH. </w:t>
      </w:r>
    </w:p>
    <w:p w14:paraId="017E8FBA" w14:textId="4F647380" w:rsidR="00B43E74" w:rsidRPr="003C21BC" w:rsidRDefault="00B43E74" w:rsidP="00754993">
      <w:pPr>
        <w:pStyle w:val="ListParagraph"/>
        <w:numPr>
          <w:ilvl w:val="0"/>
          <w:numId w:val="68"/>
        </w:numPr>
        <w:spacing w:after="180"/>
        <w:ind w:left="714" w:hanging="357"/>
        <w:jc w:val="both"/>
        <w:rPr>
          <w:bCs/>
          <w:i/>
          <w:iCs/>
          <w:sz w:val="20"/>
          <w:lang w:val="en-US"/>
        </w:rPr>
      </w:pPr>
      <w:r w:rsidRPr="003C21BC">
        <w:rPr>
          <w:bCs/>
          <w:i/>
          <w:iCs/>
          <w:sz w:val="20"/>
          <w:lang w:val="en-US"/>
        </w:rPr>
        <w:t>2-bit Total DAI represents the total number of scheduled PDSCHs for which UE reports HARQ-ACKs on the indicated PUCCH</w:t>
      </w:r>
      <w:r w:rsidR="00A62EBF">
        <w:rPr>
          <w:bCs/>
          <w:i/>
          <w:iCs/>
          <w:sz w:val="20"/>
          <w:lang w:val="en-US"/>
        </w:rPr>
        <w:t>.</w:t>
      </w:r>
    </w:p>
    <w:p w14:paraId="0364C9E5" w14:textId="77777777" w:rsidR="00B43E74" w:rsidRDefault="00B43E74">
      <w:pPr>
        <w:jc w:val="both"/>
        <w:rPr>
          <w:b/>
        </w:rPr>
      </w:pPr>
      <w:r>
        <w:rPr>
          <w:b/>
          <w:i/>
        </w:rPr>
        <w:t>Proposal #</w:t>
      </w:r>
      <w:r w:rsidRPr="003042EA">
        <w:rPr>
          <w:b/>
          <w:i/>
        </w:rPr>
        <w:t>7:</w:t>
      </w:r>
      <w:r w:rsidRPr="00D10F3E">
        <w:t xml:space="preserve"> </w:t>
      </w:r>
      <w:r w:rsidRPr="00D10F3E">
        <w:rPr>
          <w:i/>
        </w:rPr>
        <w:t>Single</w:t>
      </w:r>
      <w:r w:rsidRPr="00EE4EAC">
        <w:rPr>
          <w:i/>
        </w:rPr>
        <w:t xml:space="preserve"> DL association set is determined jointly over </w:t>
      </w:r>
      <w:r w:rsidRPr="00EE4EAC">
        <w:rPr>
          <w:rFonts w:eastAsia="MS Mincho"/>
          <w:i/>
          <w:lang w:eastAsia="ja-JP"/>
        </w:rPr>
        <w:t xml:space="preserve">DL active BWPs in cells with the same </w:t>
      </w:r>
      <w:r w:rsidRPr="00EE4EAC">
        <w:rPr>
          <w:i/>
        </w:rPr>
        <w:t>numerology.</w:t>
      </w:r>
    </w:p>
    <w:p w14:paraId="405439FA" w14:textId="270284FC" w:rsidR="00B43E74" w:rsidRPr="00470890" w:rsidRDefault="00B43E74" w:rsidP="00754993">
      <w:pPr>
        <w:jc w:val="both"/>
        <w:rPr>
          <w:rFonts w:eastAsiaTheme="minorHAnsi"/>
          <w:b/>
        </w:rPr>
      </w:pPr>
      <w:r>
        <w:rPr>
          <w:b/>
          <w:i/>
        </w:rPr>
        <w:t>Proposal #8</w:t>
      </w:r>
      <w:r w:rsidRPr="00470890">
        <w:rPr>
          <w:b/>
          <w:i/>
        </w:rPr>
        <w:t>:</w:t>
      </w:r>
      <w:r>
        <w:rPr>
          <w:b/>
        </w:rPr>
        <w:t xml:space="preserve"> </w:t>
      </w:r>
      <w:r w:rsidRPr="00470890">
        <w:rPr>
          <w:i/>
        </w:rPr>
        <w:t xml:space="preserve">In case of dynamic HARQ-ACK codebook over </w:t>
      </w:r>
      <w:r w:rsidRPr="00470890">
        <w:rPr>
          <w:rFonts w:eastAsia="MS Mincho"/>
          <w:i/>
          <w:lang w:eastAsia="ja-JP"/>
        </w:rPr>
        <w:t>DL active BWP</w:t>
      </w:r>
      <w:r w:rsidR="00265276">
        <w:rPr>
          <w:rFonts w:eastAsia="MS Mincho"/>
          <w:i/>
          <w:lang w:eastAsia="ja-JP"/>
        </w:rPr>
        <w:t>s</w:t>
      </w:r>
      <w:r w:rsidRPr="00470890">
        <w:rPr>
          <w:rFonts w:eastAsia="MS Mincho"/>
          <w:i/>
          <w:lang w:eastAsia="ja-JP"/>
        </w:rPr>
        <w:t xml:space="preserve"> of cells with the same </w:t>
      </w:r>
      <w:r w:rsidRPr="00470890">
        <w:rPr>
          <w:i/>
        </w:rPr>
        <w:t>numerology</w:t>
      </w:r>
      <w:r>
        <w:rPr>
          <w:i/>
        </w:rPr>
        <w:t xml:space="preserve"> and without CBG-based (re)transmissions</w:t>
      </w:r>
      <w:r w:rsidRPr="00470890">
        <w:rPr>
          <w:i/>
        </w:rPr>
        <w:t xml:space="preserve">, </w:t>
      </w:r>
      <w:r w:rsidRPr="00470890">
        <w:rPr>
          <w:rFonts w:eastAsia="MS Mincho"/>
          <w:i/>
          <w:lang w:eastAsia="ja-JP"/>
        </w:rPr>
        <w:t xml:space="preserve">frequency-first–time-second </w:t>
      </w:r>
      <w:r w:rsidRPr="00470890">
        <w:rPr>
          <w:i/>
        </w:rPr>
        <w:t>counter DAI and total DAI mechanism</w:t>
      </w:r>
      <w:r>
        <w:rPr>
          <w:i/>
        </w:rPr>
        <w:t xml:space="preserve"> is</w:t>
      </w:r>
      <w:r w:rsidRPr="00470890">
        <w:rPr>
          <w:i/>
        </w:rPr>
        <w:t xml:space="preserve"> used in the HARQ-ACK codebook determination.</w:t>
      </w:r>
    </w:p>
    <w:p w14:paraId="4123E7AC" w14:textId="77777777" w:rsidR="00B43E74" w:rsidRPr="00B8035E" w:rsidRDefault="00B43E74">
      <w:pPr>
        <w:spacing w:after="0"/>
        <w:jc w:val="both"/>
        <w:rPr>
          <w:rFonts w:eastAsia="MS Mincho"/>
          <w:i/>
        </w:rPr>
      </w:pPr>
      <w:r w:rsidRPr="00B8035E">
        <w:rPr>
          <w:b/>
        </w:rPr>
        <w:t>Proposal #</w:t>
      </w:r>
      <w:r>
        <w:rPr>
          <w:b/>
        </w:rPr>
        <w:t>9</w:t>
      </w:r>
      <w:r w:rsidRPr="00B8035E">
        <w:rPr>
          <w:b/>
        </w:rPr>
        <w:t>:</w:t>
      </w:r>
      <w:r w:rsidRPr="00B8035E">
        <w:rPr>
          <w:i/>
        </w:rPr>
        <w:t xml:space="preserve"> Dynamic HARQ-ACK codebook </w:t>
      </w:r>
      <w:r w:rsidRPr="00B8035E">
        <w:rPr>
          <w:rFonts w:eastAsia="MS Mincho"/>
          <w:i/>
        </w:rPr>
        <w:t>with CBG configuration at least for one serving cell is composed of separate sub-codebooks for TB-based PDSCHs and CBG-based PDSCHs.</w:t>
      </w:r>
    </w:p>
    <w:p w14:paraId="197B7EF7" w14:textId="77777777" w:rsidR="00B43E74" w:rsidRPr="00B8035E" w:rsidRDefault="00B43E74" w:rsidP="00754993">
      <w:pPr>
        <w:pStyle w:val="ListParagraph"/>
        <w:numPr>
          <w:ilvl w:val="0"/>
          <w:numId w:val="69"/>
        </w:numPr>
        <w:spacing w:after="180"/>
        <w:jc w:val="both"/>
        <w:rPr>
          <w:rFonts w:eastAsia="MS Mincho"/>
          <w:i/>
          <w:sz w:val="20"/>
          <w:szCs w:val="20"/>
          <w:lang w:val="en-US"/>
        </w:rPr>
      </w:pPr>
      <w:r w:rsidRPr="00B8035E">
        <w:rPr>
          <w:rFonts w:eastAsia="MS Mincho"/>
          <w:i/>
          <w:sz w:val="20"/>
          <w:szCs w:val="20"/>
          <w:lang w:val="en-US"/>
        </w:rPr>
        <w:lastRenderedPageBreak/>
        <w:t xml:space="preserve">Sub-codebooks are determined separately with </w:t>
      </w:r>
      <w:r w:rsidRPr="00B8035E">
        <w:rPr>
          <w:i/>
          <w:sz w:val="20"/>
          <w:szCs w:val="20"/>
          <w:lang w:val="en-US"/>
        </w:rPr>
        <w:t xml:space="preserve">independent </w:t>
      </w:r>
      <w:r w:rsidRPr="00B8035E">
        <w:rPr>
          <w:rFonts w:eastAsia="MS Mincho"/>
          <w:i/>
          <w:sz w:val="20"/>
          <w:szCs w:val="20"/>
          <w:lang w:val="en-US" w:eastAsia="ja-JP"/>
        </w:rPr>
        <w:t xml:space="preserve">frequency-first–time-second </w:t>
      </w:r>
      <w:r w:rsidRPr="00B8035E">
        <w:rPr>
          <w:i/>
          <w:sz w:val="20"/>
          <w:szCs w:val="20"/>
          <w:lang w:val="en-US"/>
        </w:rPr>
        <w:t>counter DAI and total DAI mechanisms.</w:t>
      </w:r>
    </w:p>
    <w:p w14:paraId="31C2762A" w14:textId="77777777" w:rsidR="00B43E74" w:rsidRPr="00B8035E" w:rsidRDefault="00B43E74" w:rsidP="00754993">
      <w:pPr>
        <w:pStyle w:val="ListParagraph"/>
        <w:numPr>
          <w:ilvl w:val="0"/>
          <w:numId w:val="69"/>
        </w:numPr>
        <w:spacing w:after="180"/>
        <w:ind w:left="714" w:hanging="357"/>
        <w:rPr>
          <w:rFonts w:eastAsia="MS Mincho"/>
          <w:i/>
          <w:sz w:val="20"/>
          <w:szCs w:val="20"/>
          <w:lang w:val="en-US"/>
        </w:rPr>
      </w:pPr>
      <w:r w:rsidRPr="00B8035E">
        <w:rPr>
          <w:rFonts w:eastAsia="MS Mincho"/>
          <w:i/>
          <w:sz w:val="20"/>
          <w:szCs w:val="20"/>
          <w:lang w:val="en-US"/>
        </w:rPr>
        <w:t>Presence/absence of the other sub-codebook is indicated with a DCI flag</w:t>
      </w:r>
    </w:p>
    <w:p w14:paraId="69648993" w14:textId="77777777" w:rsidR="00B43E74" w:rsidRPr="003019FF" w:rsidRDefault="00B43E74">
      <w:pPr>
        <w:jc w:val="both"/>
        <w:rPr>
          <w:bCs/>
        </w:rPr>
      </w:pPr>
      <w:r w:rsidRPr="003252A4">
        <w:rPr>
          <w:b/>
          <w:bCs/>
          <w:i/>
          <w:iCs/>
        </w:rPr>
        <w:t>Proposal #</w:t>
      </w:r>
      <w:r>
        <w:rPr>
          <w:b/>
          <w:bCs/>
          <w:i/>
          <w:iCs/>
        </w:rPr>
        <w:t>10</w:t>
      </w:r>
      <w:r w:rsidRPr="003252A4">
        <w:rPr>
          <w:b/>
          <w:bCs/>
          <w:i/>
          <w:iCs/>
        </w:rPr>
        <w:t xml:space="preserve">: </w:t>
      </w:r>
      <w:r w:rsidRPr="003019FF">
        <w:rPr>
          <w:bCs/>
          <w:i/>
          <w:iCs/>
        </w:rPr>
        <w:t xml:space="preserve">HARQ-ACK bundling </w:t>
      </w:r>
      <w:r>
        <w:rPr>
          <w:bCs/>
          <w:i/>
          <w:iCs/>
        </w:rPr>
        <w:t>in spatial domain can be applied dynamically.</w:t>
      </w:r>
      <w:r w:rsidRPr="003019FF">
        <w:rPr>
          <w:bCs/>
          <w:i/>
          <w:iCs/>
        </w:rPr>
        <w:t xml:space="preserve"> </w:t>
      </w:r>
    </w:p>
    <w:p w14:paraId="50FEB4ED" w14:textId="18C47268" w:rsidR="00B43E74" w:rsidRDefault="00B43E74" w:rsidP="00754993">
      <w:pPr>
        <w:ind w:left="992" w:hanging="992"/>
        <w:rPr>
          <w:i/>
          <w:lang w:val="en-US"/>
        </w:rPr>
      </w:pPr>
      <w:r w:rsidRPr="003252A4">
        <w:rPr>
          <w:b/>
          <w:bCs/>
          <w:i/>
          <w:iCs/>
        </w:rPr>
        <w:t>Proposal #</w:t>
      </w:r>
      <w:r>
        <w:rPr>
          <w:b/>
          <w:bCs/>
          <w:i/>
          <w:iCs/>
        </w:rPr>
        <w:t>11</w:t>
      </w:r>
      <w:r w:rsidRPr="003252A4">
        <w:rPr>
          <w:b/>
          <w:bCs/>
          <w:i/>
          <w:iCs/>
        </w:rPr>
        <w:t xml:space="preserve">: </w:t>
      </w:r>
      <w:r w:rsidRPr="003019FF">
        <w:rPr>
          <w:bCs/>
          <w:i/>
          <w:iCs/>
        </w:rPr>
        <w:t xml:space="preserve">HARQ-ACK bundling </w:t>
      </w:r>
      <w:r>
        <w:rPr>
          <w:bCs/>
          <w:i/>
          <w:iCs/>
        </w:rPr>
        <w:t>across CBGs is supported and can</w:t>
      </w:r>
      <w:r>
        <w:rPr>
          <w:i/>
          <w:lang w:val="en-US"/>
        </w:rPr>
        <w:t xml:space="preserve"> be applied only dynamically.</w:t>
      </w:r>
    </w:p>
    <w:p w14:paraId="7187288B" w14:textId="62534A43" w:rsidR="00B43E74" w:rsidRPr="00B8035E" w:rsidRDefault="001B15FC" w:rsidP="00754993">
      <w:pPr>
        <w:jc w:val="both"/>
        <w:rPr>
          <w:i/>
        </w:rPr>
      </w:pPr>
      <w:r>
        <w:rPr>
          <w:b/>
          <w:i/>
          <w:lang w:val="en-US"/>
        </w:rPr>
        <w:t>Observation #1</w:t>
      </w:r>
      <w:r w:rsidR="00B43E74" w:rsidRPr="00754993">
        <w:rPr>
          <w:b/>
          <w:i/>
        </w:rPr>
        <w:t>:</w:t>
      </w:r>
      <w:r w:rsidR="00B43E74" w:rsidRPr="00B8035E">
        <w:rPr>
          <w:i/>
        </w:rPr>
        <w:t xml:space="preserve"> HARQ-ACK multiplexing can be supported for </w:t>
      </w:r>
      <w:r w:rsidR="00B43E74" w:rsidRPr="003042EA">
        <w:rPr>
          <w:bCs/>
          <w:i/>
          <w:lang w:eastAsia="x-none"/>
        </w:rPr>
        <w:t>PDSCH schedule</w:t>
      </w:r>
      <w:r w:rsidR="00B43E74" w:rsidRPr="00B8035E">
        <w:rPr>
          <w:bCs/>
          <w:i/>
          <w:lang w:eastAsia="x-none"/>
        </w:rPr>
        <w:t xml:space="preserve">d with </w:t>
      </w:r>
      <w:r w:rsidR="00B43E74" w:rsidRPr="003042EA">
        <w:rPr>
          <w:bCs/>
          <w:i/>
          <w:lang w:eastAsia="x-none"/>
        </w:rPr>
        <w:t>fallback DCI</w:t>
      </w:r>
      <w:r w:rsidR="00B43E74" w:rsidRPr="00B8035E">
        <w:rPr>
          <w:bCs/>
          <w:i/>
          <w:lang w:eastAsia="x-none"/>
        </w:rPr>
        <w:t xml:space="preserve"> in the case of dynamic HARQ-ACK codebook based on the sub-codebook</w:t>
      </w:r>
      <w:r w:rsidR="00B43E74">
        <w:rPr>
          <w:bCs/>
          <w:i/>
          <w:lang w:eastAsia="x-none"/>
        </w:rPr>
        <w:t xml:space="preserve"> approach.</w:t>
      </w:r>
      <w:r w:rsidR="00B43E74" w:rsidRPr="00B8035E">
        <w:rPr>
          <w:bCs/>
          <w:i/>
          <w:lang w:eastAsia="x-none"/>
        </w:rPr>
        <w:t xml:space="preserve"> </w:t>
      </w:r>
    </w:p>
    <w:p w14:paraId="5C5F62E3" w14:textId="18E0E4CA" w:rsidR="0029703E" w:rsidRPr="003019FF" w:rsidRDefault="0029703E" w:rsidP="003019FF">
      <w:pPr>
        <w:spacing w:before="360" w:line="276" w:lineRule="auto"/>
        <w:jc w:val="both"/>
        <w:rPr>
          <w:lang w:val="en-US"/>
        </w:rPr>
      </w:pPr>
      <w:r w:rsidRPr="003252A4">
        <w:rPr>
          <w:lang w:val="en-US"/>
        </w:rPr>
        <w:t>Proposals on the number of HARQ processes</w:t>
      </w:r>
      <w:r w:rsidR="008205B2">
        <w:rPr>
          <w:lang w:val="en-US"/>
        </w:rPr>
        <w:t xml:space="preserve"> and UE processing time</w:t>
      </w:r>
      <w:r w:rsidRPr="003252A4">
        <w:rPr>
          <w:lang w:val="en-US"/>
        </w:rPr>
        <w:t>:</w:t>
      </w:r>
    </w:p>
    <w:p w14:paraId="54716335" w14:textId="04CCD74A" w:rsidR="00B43E74" w:rsidRPr="00522A64" w:rsidRDefault="00B43E74">
      <w:pPr>
        <w:jc w:val="both"/>
        <w:rPr>
          <w:i/>
          <w:lang w:eastAsia="zh-CN"/>
        </w:rPr>
      </w:pPr>
      <w:r w:rsidRPr="00522A64">
        <w:rPr>
          <w:b/>
          <w:i/>
          <w:lang w:eastAsia="zh-CN"/>
        </w:rPr>
        <w:t>Observation</w:t>
      </w:r>
      <w:r>
        <w:rPr>
          <w:b/>
          <w:i/>
          <w:lang w:eastAsia="zh-CN"/>
        </w:rPr>
        <w:t xml:space="preserve"> #</w:t>
      </w:r>
      <w:r w:rsidR="001B15FC">
        <w:rPr>
          <w:b/>
          <w:i/>
          <w:lang w:eastAsia="zh-CN"/>
        </w:rPr>
        <w:t>2</w:t>
      </w:r>
      <w:r w:rsidRPr="00522A64">
        <w:rPr>
          <w:i/>
          <w:lang w:eastAsia="zh-CN"/>
        </w:rPr>
        <w:t>: It appears that 8 processes won’t be sufficient in all cases to support contiguous transmission to one UE.</w:t>
      </w:r>
    </w:p>
    <w:p w14:paraId="1CF7D068" w14:textId="77777777" w:rsidR="00B43E74" w:rsidRPr="00DD65F6" w:rsidRDefault="00B43E74">
      <w:pPr>
        <w:spacing w:line="276" w:lineRule="auto"/>
        <w:jc w:val="both"/>
        <w:rPr>
          <w:i/>
          <w:iCs/>
          <w:lang w:val="en-US"/>
        </w:rPr>
      </w:pPr>
      <w:r w:rsidRPr="00830CA4">
        <w:rPr>
          <w:b/>
          <w:bCs/>
          <w:i/>
          <w:lang w:val="en-US"/>
        </w:rPr>
        <w:t>Proposal #1</w:t>
      </w:r>
      <w:r>
        <w:rPr>
          <w:b/>
          <w:bCs/>
          <w:i/>
          <w:lang w:val="en-US"/>
        </w:rPr>
        <w:t>2</w:t>
      </w:r>
      <w:r w:rsidRPr="00830CA4">
        <w:rPr>
          <w:b/>
          <w:bCs/>
          <w:i/>
          <w:lang w:val="en-US"/>
        </w:rPr>
        <w:t>:</w:t>
      </w:r>
      <w:r w:rsidRPr="00E541B0">
        <w:rPr>
          <w:b/>
          <w:bCs/>
          <w:lang w:val="en-US"/>
        </w:rPr>
        <w:t xml:space="preserve"> </w:t>
      </w:r>
      <w:r w:rsidRPr="003252A4">
        <w:rPr>
          <w:i/>
          <w:iCs/>
          <w:lang w:val="en-US"/>
        </w:rPr>
        <w:t>The maximum number of supported HARQ processes per carrier and per MIMO CW is common to all UEs capable of supporting mobile broadband services, and the value is fixed in the specification.</w:t>
      </w:r>
    </w:p>
    <w:p w14:paraId="6A02EBB0" w14:textId="77777777" w:rsidR="00B43E74" w:rsidRPr="00522A64" w:rsidRDefault="00B43E74" w:rsidP="00754993">
      <w:pPr>
        <w:spacing w:line="276" w:lineRule="auto"/>
        <w:jc w:val="both"/>
        <w:rPr>
          <w:i/>
          <w:iCs/>
          <w:lang w:val="en-US"/>
        </w:rPr>
      </w:pPr>
      <w:r w:rsidRPr="00830CA4">
        <w:rPr>
          <w:b/>
          <w:bCs/>
          <w:i/>
          <w:lang w:val="en-US"/>
        </w:rPr>
        <w:t>Proposal #1</w:t>
      </w:r>
      <w:r>
        <w:rPr>
          <w:b/>
          <w:bCs/>
          <w:i/>
          <w:lang w:val="en-US"/>
        </w:rPr>
        <w:t>3</w:t>
      </w:r>
      <w:r w:rsidRPr="00830CA4">
        <w:rPr>
          <w:b/>
          <w:bCs/>
          <w:i/>
          <w:lang w:val="en-US"/>
        </w:rPr>
        <w:t>:</w:t>
      </w:r>
      <w:r w:rsidRPr="00E541B0">
        <w:rPr>
          <w:b/>
          <w:bCs/>
          <w:lang w:val="en-US"/>
        </w:rPr>
        <w:t xml:space="preserve"> </w:t>
      </w:r>
      <w:r w:rsidRPr="003252A4">
        <w:rPr>
          <w:i/>
          <w:iCs/>
          <w:lang w:val="en-US"/>
        </w:rPr>
        <w:t>Allocate 4 bits for HARQ process number indication per carrier and per MIMO CW in the DCI for both downlink and uplink</w:t>
      </w:r>
      <w:r>
        <w:rPr>
          <w:i/>
          <w:iCs/>
          <w:lang w:val="en-US"/>
        </w:rPr>
        <w:t>, and support a maximum of 16 HARQ processes per CW.</w:t>
      </w:r>
    </w:p>
    <w:bookmarkEnd w:id="3"/>
    <w:p w14:paraId="40CBE789" w14:textId="13B34810" w:rsidR="0034111C" w:rsidRPr="00C42656" w:rsidRDefault="0034111C">
      <w:pPr>
        <w:pStyle w:val="Heading1"/>
      </w:pPr>
      <w:r w:rsidRPr="00A51522">
        <w:t>References</w:t>
      </w:r>
      <w:r w:rsidR="00A2459D" w:rsidRPr="00A51522">
        <w:t xml:space="preserve"> </w:t>
      </w:r>
    </w:p>
    <w:p w14:paraId="5D83AC7E" w14:textId="608C0668" w:rsidR="00A12B8F" w:rsidRPr="002A6B09" w:rsidRDefault="00A12B8F">
      <w:pPr>
        <w:numPr>
          <w:ilvl w:val="0"/>
          <w:numId w:val="1"/>
        </w:numPr>
        <w:rPr>
          <w:sz w:val="18"/>
          <w:szCs w:val="18"/>
        </w:rPr>
      </w:pPr>
      <w:r w:rsidRPr="00680B71">
        <w:rPr>
          <w:sz w:val="18"/>
          <w:szCs w:val="18"/>
        </w:rPr>
        <w:t>RP-170847, “</w:t>
      </w:r>
      <w:r w:rsidRPr="002A6B09">
        <w:rPr>
          <w:i/>
          <w:iCs/>
          <w:sz w:val="18"/>
          <w:szCs w:val="18"/>
          <w:lang w:eastAsia="zh-CN"/>
        </w:rPr>
        <w:t>New WID on New Radio Access Technology</w:t>
      </w:r>
      <w:r w:rsidRPr="002A6B09">
        <w:rPr>
          <w:sz w:val="18"/>
          <w:szCs w:val="18"/>
        </w:rPr>
        <w:t xml:space="preserve">”, </w:t>
      </w:r>
      <w:r w:rsidRPr="002A6B09">
        <w:rPr>
          <w:sz w:val="18"/>
          <w:szCs w:val="18"/>
          <w:lang w:eastAsia="zh-CN"/>
        </w:rPr>
        <w:t>NTT DoCoMo</w:t>
      </w:r>
    </w:p>
    <w:p w14:paraId="48CB3317" w14:textId="2FDA3972" w:rsidR="0029703E" w:rsidRPr="00754993" w:rsidRDefault="0029703E" w:rsidP="003019FF">
      <w:pPr>
        <w:numPr>
          <w:ilvl w:val="0"/>
          <w:numId w:val="1"/>
        </w:numPr>
        <w:overflowPunct/>
        <w:autoSpaceDE/>
        <w:autoSpaceDN/>
        <w:adjustRightInd/>
        <w:spacing w:after="160" w:line="256" w:lineRule="auto"/>
        <w:textAlignment w:val="auto"/>
        <w:rPr>
          <w:sz w:val="18"/>
          <w:szCs w:val="18"/>
          <w:lang w:val="en-US"/>
        </w:rPr>
      </w:pPr>
      <w:r w:rsidRPr="0069145F">
        <w:rPr>
          <w:sz w:val="18"/>
          <w:szCs w:val="18"/>
        </w:rPr>
        <w:t>TR 38.913, “</w:t>
      </w:r>
      <w:r w:rsidRPr="0069145F">
        <w:rPr>
          <w:i/>
          <w:iCs/>
          <w:sz w:val="18"/>
          <w:szCs w:val="18"/>
          <w:lang w:eastAsia="zh-CN"/>
        </w:rPr>
        <w:t>Study on Scenarios and Requirements for Next Generation Access Technologies</w:t>
      </w:r>
      <w:r w:rsidRPr="0069145F">
        <w:rPr>
          <w:sz w:val="18"/>
          <w:szCs w:val="18"/>
        </w:rPr>
        <w:t>”, 3GPP</w:t>
      </w:r>
    </w:p>
    <w:p w14:paraId="61DA8A1A" w14:textId="00D9F0A1" w:rsidR="001A0C1F" w:rsidRPr="00754993" w:rsidRDefault="001A0C1F" w:rsidP="00754993">
      <w:pPr>
        <w:pStyle w:val="ListParagraph"/>
        <w:numPr>
          <w:ilvl w:val="0"/>
          <w:numId w:val="1"/>
        </w:numPr>
        <w:spacing w:after="120" w:line="256" w:lineRule="auto"/>
        <w:jc w:val="both"/>
        <w:rPr>
          <w:sz w:val="18"/>
          <w:szCs w:val="18"/>
          <w:lang w:val="en-US"/>
        </w:rPr>
      </w:pPr>
      <w:bookmarkStart w:id="4" w:name="_Ref494634151"/>
      <w:r w:rsidRPr="00754993">
        <w:rPr>
          <w:sz w:val="18"/>
          <w:szCs w:val="18"/>
          <w:lang w:val="en-US"/>
        </w:rPr>
        <w:t xml:space="preserve">R1-1715755, </w:t>
      </w:r>
      <w:r w:rsidRPr="00754993">
        <w:rPr>
          <w:i/>
          <w:sz w:val="18"/>
          <w:szCs w:val="18"/>
          <w:lang w:val="en-US"/>
        </w:rPr>
        <w:t>“On remaining aspects of NR CA/DC and BWPs</w:t>
      </w:r>
      <w:r w:rsidRPr="00754993">
        <w:rPr>
          <w:sz w:val="18"/>
          <w:szCs w:val="18"/>
          <w:lang w:val="en-US"/>
        </w:rPr>
        <w:t>”, Nokia, Nokia Shanghai Bell</w:t>
      </w:r>
      <w:bookmarkEnd w:id="4"/>
    </w:p>
    <w:p w14:paraId="3622AC6E" w14:textId="2BCDEDB2" w:rsidR="001A0C1F" w:rsidRPr="001B15FC" w:rsidRDefault="0069145F" w:rsidP="003019FF">
      <w:pPr>
        <w:numPr>
          <w:ilvl w:val="0"/>
          <w:numId w:val="1"/>
        </w:numPr>
        <w:overflowPunct/>
        <w:autoSpaceDE/>
        <w:autoSpaceDN/>
        <w:adjustRightInd/>
        <w:spacing w:after="160" w:line="256" w:lineRule="auto"/>
        <w:textAlignment w:val="auto"/>
        <w:rPr>
          <w:sz w:val="18"/>
          <w:szCs w:val="18"/>
          <w:lang w:val="en-US"/>
        </w:rPr>
      </w:pPr>
      <w:r>
        <w:rPr>
          <w:sz w:val="18"/>
          <w:szCs w:val="18"/>
          <w:lang w:val="en-US"/>
        </w:rPr>
        <w:t xml:space="preserve">R1-1718645. </w:t>
      </w:r>
      <w:r w:rsidRPr="00754993">
        <w:rPr>
          <w:i/>
          <w:sz w:val="18"/>
          <w:szCs w:val="18"/>
          <w:lang w:val="en-US"/>
        </w:rPr>
        <w:t xml:space="preserve">“On HARQ management”, </w:t>
      </w:r>
      <w:r w:rsidRPr="001B15FC">
        <w:rPr>
          <w:sz w:val="18"/>
          <w:szCs w:val="18"/>
          <w:lang w:val="en-US"/>
        </w:rPr>
        <w:t>Ericsson</w:t>
      </w:r>
    </w:p>
    <w:p w14:paraId="7B08D633" w14:textId="625D613A" w:rsidR="001A0C1F" w:rsidRPr="001B15FC" w:rsidRDefault="001A0C1F" w:rsidP="003019FF">
      <w:pPr>
        <w:numPr>
          <w:ilvl w:val="0"/>
          <w:numId w:val="1"/>
        </w:numPr>
        <w:overflowPunct/>
        <w:autoSpaceDE/>
        <w:autoSpaceDN/>
        <w:adjustRightInd/>
        <w:spacing w:after="160" w:line="256" w:lineRule="auto"/>
        <w:textAlignment w:val="auto"/>
        <w:rPr>
          <w:sz w:val="18"/>
          <w:szCs w:val="18"/>
          <w:lang w:val="en-US"/>
        </w:rPr>
      </w:pPr>
      <w:r w:rsidRPr="001B15FC">
        <w:rPr>
          <w:sz w:val="18"/>
          <w:szCs w:val="18"/>
          <w:lang w:val="en-US"/>
        </w:rPr>
        <w:t>R1-1</w:t>
      </w:r>
      <w:r>
        <w:rPr>
          <w:sz w:val="18"/>
          <w:szCs w:val="18"/>
          <w:lang w:val="en-US"/>
        </w:rPr>
        <w:t xml:space="preserve">720008, </w:t>
      </w:r>
      <w:r w:rsidRPr="00754993">
        <w:rPr>
          <w:i/>
          <w:sz w:val="18"/>
          <w:szCs w:val="18"/>
          <w:lang w:val="en-US"/>
        </w:rPr>
        <w:t>“On remaining details of short PUCCH for UCI of more than 2 bits”</w:t>
      </w:r>
      <w:r>
        <w:rPr>
          <w:i/>
          <w:sz w:val="18"/>
          <w:szCs w:val="18"/>
          <w:lang w:val="en-US"/>
        </w:rPr>
        <w:t xml:space="preserve">, </w:t>
      </w:r>
      <w:r>
        <w:rPr>
          <w:sz w:val="18"/>
          <w:szCs w:val="18"/>
          <w:lang w:val="en-US"/>
        </w:rPr>
        <w:t>Nokia, Nokia Shanghai Bell</w:t>
      </w:r>
    </w:p>
    <w:p w14:paraId="52438AA5" w14:textId="2AF75F4B" w:rsidR="00AB3139" w:rsidRPr="00754993" w:rsidRDefault="004142CD" w:rsidP="003019FF">
      <w:pPr>
        <w:numPr>
          <w:ilvl w:val="0"/>
          <w:numId w:val="1"/>
        </w:numPr>
        <w:overflowPunct/>
        <w:autoSpaceDE/>
        <w:autoSpaceDN/>
        <w:adjustRightInd/>
        <w:spacing w:after="160" w:line="256" w:lineRule="auto"/>
        <w:textAlignment w:val="auto"/>
        <w:rPr>
          <w:sz w:val="18"/>
          <w:szCs w:val="18"/>
          <w:lang w:val="en-US"/>
        </w:rPr>
      </w:pPr>
      <w:r w:rsidRPr="001B15FC">
        <w:rPr>
          <w:sz w:val="18"/>
          <w:szCs w:val="18"/>
        </w:rPr>
        <w:t>RAN1 Chairman’s Notes, 3GPP TSG RAN WG1 Meeting #8</w:t>
      </w:r>
      <w:r w:rsidR="00FA0931" w:rsidRPr="001B15FC">
        <w:rPr>
          <w:sz w:val="18"/>
          <w:szCs w:val="18"/>
        </w:rPr>
        <w:t>9</w:t>
      </w:r>
      <w:r w:rsidRPr="001B15FC">
        <w:rPr>
          <w:sz w:val="18"/>
          <w:szCs w:val="18"/>
        </w:rPr>
        <w:t>, 3GPP</w:t>
      </w:r>
    </w:p>
    <w:p w14:paraId="6F0F9789" w14:textId="561CB25D" w:rsidR="00EB678D" w:rsidRPr="001B15FC" w:rsidRDefault="00EB678D" w:rsidP="00EB678D">
      <w:pPr>
        <w:numPr>
          <w:ilvl w:val="0"/>
          <w:numId w:val="1"/>
        </w:numPr>
        <w:overflowPunct/>
        <w:autoSpaceDE/>
        <w:autoSpaceDN/>
        <w:adjustRightInd/>
        <w:spacing w:after="160" w:line="256" w:lineRule="auto"/>
        <w:textAlignment w:val="auto"/>
        <w:rPr>
          <w:sz w:val="18"/>
          <w:szCs w:val="18"/>
          <w:lang w:val="en-US"/>
        </w:rPr>
      </w:pPr>
      <w:r>
        <w:rPr>
          <w:sz w:val="18"/>
          <w:szCs w:val="18"/>
          <w:lang w:val="en-US"/>
        </w:rPr>
        <w:t>R1-1720479, “</w:t>
      </w:r>
      <w:r w:rsidRPr="00754993">
        <w:rPr>
          <w:i/>
          <w:sz w:val="18"/>
          <w:szCs w:val="18"/>
          <w:lang w:val="en-US"/>
        </w:rPr>
        <w:t>On resource allocation for PDSCH and PUSCH in NR</w:t>
      </w:r>
      <w:r>
        <w:rPr>
          <w:sz w:val="18"/>
          <w:szCs w:val="18"/>
          <w:lang w:val="en-US"/>
        </w:rPr>
        <w:t xml:space="preserve">”, </w:t>
      </w:r>
      <w:r w:rsidRPr="00EB678D">
        <w:rPr>
          <w:sz w:val="18"/>
          <w:szCs w:val="18"/>
          <w:lang w:val="en-US"/>
        </w:rPr>
        <w:t>Nokia, Nokia Shanghai Bell</w:t>
      </w:r>
    </w:p>
    <w:p w14:paraId="5B5A05BC" w14:textId="27B25E60" w:rsidR="007E1905" w:rsidRPr="00D21268" w:rsidRDefault="007E1905" w:rsidP="00754993">
      <w:pPr>
        <w:overflowPunct/>
        <w:autoSpaceDE/>
        <w:autoSpaceDN/>
        <w:adjustRightInd/>
        <w:spacing w:after="160" w:line="256" w:lineRule="auto"/>
        <w:ind w:left="357"/>
        <w:textAlignment w:val="auto"/>
        <w:rPr>
          <w:sz w:val="18"/>
          <w:szCs w:val="18"/>
        </w:rPr>
      </w:pPr>
    </w:p>
    <w:sectPr w:rsidR="007E1905" w:rsidRPr="00D21268"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4C8A3" w14:textId="77777777" w:rsidR="001B15FC" w:rsidRDefault="001B15FC">
      <w:r>
        <w:separator/>
      </w:r>
    </w:p>
  </w:endnote>
  <w:endnote w:type="continuationSeparator" w:id="0">
    <w:p w14:paraId="189CA8F5" w14:textId="77777777" w:rsidR="001B15FC" w:rsidRDefault="001B15FC">
      <w:r>
        <w:continuationSeparator/>
      </w:r>
    </w:p>
  </w:endnote>
  <w:endnote w:type="continuationNotice" w:id="1">
    <w:p w14:paraId="24133327" w14:textId="77777777" w:rsidR="001B15FC" w:rsidRDefault="001B1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9C93E" w14:textId="77777777" w:rsidR="001B15FC" w:rsidRDefault="001B15FC">
      <w:r>
        <w:separator/>
      </w:r>
    </w:p>
  </w:footnote>
  <w:footnote w:type="continuationSeparator" w:id="0">
    <w:p w14:paraId="26E9B4E3" w14:textId="77777777" w:rsidR="001B15FC" w:rsidRDefault="001B15FC">
      <w:r>
        <w:continuationSeparator/>
      </w:r>
    </w:p>
  </w:footnote>
  <w:footnote w:type="continuationNotice" w:id="1">
    <w:p w14:paraId="50E6197E" w14:textId="77777777" w:rsidR="001B15FC" w:rsidRDefault="001B15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cs="Times New Roman" w:hint="default"/>
      </w:rPr>
    </w:lvl>
    <w:lvl w:ilvl="1" w:tplc="D402D580">
      <w:start w:val="2576"/>
      <w:numFmt w:val="bullet"/>
      <w:lvlText w:val="–"/>
      <w:lvlJc w:val="left"/>
      <w:pPr>
        <w:tabs>
          <w:tab w:val="num" w:pos="1440"/>
        </w:tabs>
        <w:ind w:left="1440" w:hanging="360"/>
      </w:pPr>
      <w:rPr>
        <w:rFonts w:ascii="Arial" w:hAnsi="Arial" w:cs="Times New Roman" w:hint="default"/>
      </w:rPr>
    </w:lvl>
    <w:lvl w:ilvl="2" w:tplc="3C26FABA">
      <w:start w:val="2576"/>
      <w:numFmt w:val="bullet"/>
      <w:lvlText w:val="•"/>
      <w:lvlJc w:val="left"/>
      <w:pPr>
        <w:tabs>
          <w:tab w:val="num" w:pos="2160"/>
        </w:tabs>
        <w:ind w:left="2160" w:hanging="360"/>
      </w:pPr>
      <w:rPr>
        <w:rFonts w:ascii="Arial" w:hAnsi="Arial" w:cs="Times New Roman" w:hint="default"/>
      </w:rPr>
    </w:lvl>
    <w:lvl w:ilvl="3" w:tplc="3F424968">
      <w:start w:val="1"/>
      <w:numFmt w:val="bullet"/>
      <w:lvlText w:val="•"/>
      <w:lvlJc w:val="left"/>
      <w:pPr>
        <w:tabs>
          <w:tab w:val="num" w:pos="2880"/>
        </w:tabs>
        <w:ind w:left="2880" w:hanging="360"/>
      </w:pPr>
      <w:rPr>
        <w:rFonts w:ascii="Arial" w:hAnsi="Arial" w:cs="Times New Roman" w:hint="default"/>
      </w:rPr>
    </w:lvl>
    <w:lvl w:ilvl="4" w:tplc="94F2A626">
      <w:start w:val="1"/>
      <w:numFmt w:val="bullet"/>
      <w:lvlText w:val="•"/>
      <w:lvlJc w:val="left"/>
      <w:pPr>
        <w:tabs>
          <w:tab w:val="num" w:pos="3600"/>
        </w:tabs>
        <w:ind w:left="3600" w:hanging="360"/>
      </w:pPr>
      <w:rPr>
        <w:rFonts w:ascii="Arial" w:hAnsi="Arial" w:cs="Times New Roman" w:hint="default"/>
      </w:rPr>
    </w:lvl>
    <w:lvl w:ilvl="5" w:tplc="97A6212A">
      <w:start w:val="1"/>
      <w:numFmt w:val="bullet"/>
      <w:lvlText w:val="•"/>
      <w:lvlJc w:val="left"/>
      <w:pPr>
        <w:tabs>
          <w:tab w:val="num" w:pos="4320"/>
        </w:tabs>
        <w:ind w:left="4320" w:hanging="360"/>
      </w:pPr>
      <w:rPr>
        <w:rFonts w:ascii="Arial" w:hAnsi="Arial" w:cs="Times New Roman" w:hint="default"/>
      </w:rPr>
    </w:lvl>
    <w:lvl w:ilvl="6" w:tplc="9078CA44">
      <w:start w:val="1"/>
      <w:numFmt w:val="bullet"/>
      <w:lvlText w:val="•"/>
      <w:lvlJc w:val="left"/>
      <w:pPr>
        <w:tabs>
          <w:tab w:val="num" w:pos="5040"/>
        </w:tabs>
        <w:ind w:left="5040" w:hanging="360"/>
      </w:pPr>
      <w:rPr>
        <w:rFonts w:ascii="Arial" w:hAnsi="Arial" w:cs="Times New Roman" w:hint="default"/>
      </w:rPr>
    </w:lvl>
    <w:lvl w:ilvl="7" w:tplc="3BBC0B78">
      <w:start w:val="1"/>
      <w:numFmt w:val="bullet"/>
      <w:lvlText w:val="•"/>
      <w:lvlJc w:val="left"/>
      <w:pPr>
        <w:tabs>
          <w:tab w:val="num" w:pos="5760"/>
        </w:tabs>
        <w:ind w:left="5760" w:hanging="360"/>
      </w:pPr>
      <w:rPr>
        <w:rFonts w:ascii="Arial" w:hAnsi="Arial" w:cs="Times New Roman" w:hint="default"/>
      </w:rPr>
    </w:lvl>
    <w:lvl w:ilvl="8" w:tplc="48D0D62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8623D"/>
    <w:multiLevelType w:val="multilevel"/>
    <w:tmpl w:val="51CEB3A8"/>
    <w:lvl w:ilvl="0">
      <w:start w:val="4"/>
      <w:numFmt w:val="decimal"/>
      <w:lvlText w:val="%1"/>
      <w:lvlJc w:val="left"/>
      <w:pPr>
        <w:ind w:left="405" w:hanging="405"/>
      </w:pPr>
    </w:lvl>
    <w:lvl w:ilvl="1">
      <w:start w:val="1"/>
      <w:numFmt w:val="decimal"/>
      <w:lvlText w:val="%1.%2"/>
      <w:lvlJc w:val="left"/>
      <w:pPr>
        <w:ind w:left="6076"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CD31F22"/>
    <w:multiLevelType w:val="hybridMultilevel"/>
    <w:tmpl w:val="1D1E4F22"/>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8"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4D3903"/>
    <w:multiLevelType w:val="hybridMultilevel"/>
    <w:tmpl w:val="5008CA1A"/>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10"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007714"/>
    <w:multiLevelType w:val="hybridMultilevel"/>
    <w:tmpl w:val="33D61620"/>
    <w:lvl w:ilvl="0" w:tplc="040B0001">
      <w:start w:val="1"/>
      <w:numFmt w:val="bullet"/>
      <w:lvlText w:val=""/>
      <w:lvlJc w:val="left"/>
      <w:pPr>
        <w:ind w:left="1029" w:hanging="360"/>
      </w:pPr>
      <w:rPr>
        <w:rFonts w:ascii="Symbol" w:hAnsi="Symbol" w:hint="default"/>
      </w:rPr>
    </w:lvl>
    <w:lvl w:ilvl="1" w:tplc="040B0003" w:tentative="1">
      <w:start w:val="1"/>
      <w:numFmt w:val="bullet"/>
      <w:lvlText w:val="o"/>
      <w:lvlJc w:val="left"/>
      <w:pPr>
        <w:ind w:left="1541" w:hanging="360"/>
      </w:pPr>
      <w:rPr>
        <w:rFonts w:ascii="Courier New" w:hAnsi="Courier New" w:cs="Courier New" w:hint="default"/>
      </w:rPr>
    </w:lvl>
    <w:lvl w:ilvl="2" w:tplc="040B0005" w:tentative="1">
      <w:start w:val="1"/>
      <w:numFmt w:val="bullet"/>
      <w:lvlText w:val=""/>
      <w:lvlJc w:val="left"/>
      <w:pPr>
        <w:ind w:left="2261" w:hanging="360"/>
      </w:pPr>
      <w:rPr>
        <w:rFonts w:ascii="Wingdings" w:hAnsi="Wingdings" w:hint="default"/>
      </w:rPr>
    </w:lvl>
    <w:lvl w:ilvl="3" w:tplc="040B0001" w:tentative="1">
      <w:start w:val="1"/>
      <w:numFmt w:val="bullet"/>
      <w:lvlText w:val=""/>
      <w:lvlJc w:val="left"/>
      <w:pPr>
        <w:ind w:left="2981" w:hanging="360"/>
      </w:pPr>
      <w:rPr>
        <w:rFonts w:ascii="Symbol" w:hAnsi="Symbol" w:hint="default"/>
      </w:rPr>
    </w:lvl>
    <w:lvl w:ilvl="4" w:tplc="040B0003" w:tentative="1">
      <w:start w:val="1"/>
      <w:numFmt w:val="bullet"/>
      <w:lvlText w:val="o"/>
      <w:lvlJc w:val="left"/>
      <w:pPr>
        <w:ind w:left="3701" w:hanging="360"/>
      </w:pPr>
      <w:rPr>
        <w:rFonts w:ascii="Courier New" w:hAnsi="Courier New" w:cs="Courier New" w:hint="default"/>
      </w:rPr>
    </w:lvl>
    <w:lvl w:ilvl="5" w:tplc="040B0005" w:tentative="1">
      <w:start w:val="1"/>
      <w:numFmt w:val="bullet"/>
      <w:lvlText w:val=""/>
      <w:lvlJc w:val="left"/>
      <w:pPr>
        <w:ind w:left="4421" w:hanging="360"/>
      </w:pPr>
      <w:rPr>
        <w:rFonts w:ascii="Wingdings" w:hAnsi="Wingdings" w:hint="default"/>
      </w:rPr>
    </w:lvl>
    <w:lvl w:ilvl="6" w:tplc="040B0001" w:tentative="1">
      <w:start w:val="1"/>
      <w:numFmt w:val="bullet"/>
      <w:lvlText w:val=""/>
      <w:lvlJc w:val="left"/>
      <w:pPr>
        <w:ind w:left="5141" w:hanging="360"/>
      </w:pPr>
      <w:rPr>
        <w:rFonts w:ascii="Symbol" w:hAnsi="Symbol" w:hint="default"/>
      </w:rPr>
    </w:lvl>
    <w:lvl w:ilvl="7" w:tplc="040B0003" w:tentative="1">
      <w:start w:val="1"/>
      <w:numFmt w:val="bullet"/>
      <w:lvlText w:val="o"/>
      <w:lvlJc w:val="left"/>
      <w:pPr>
        <w:ind w:left="5861" w:hanging="360"/>
      </w:pPr>
      <w:rPr>
        <w:rFonts w:ascii="Courier New" w:hAnsi="Courier New" w:cs="Courier New" w:hint="default"/>
      </w:rPr>
    </w:lvl>
    <w:lvl w:ilvl="8" w:tplc="040B0005" w:tentative="1">
      <w:start w:val="1"/>
      <w:numFmt w:val="bullet"/>
      <w:lvlText w:val=""/>
      <w:lvlJc w:val="left"/>
      <w:pPr>
        <w:ind w:left="6581" w:hanging="360"/>
      </w:pPr>
      <w:rPr>
        <w:rFonts w:ascii="Wingdings" w:hAnsi="Wingdings" w:hint="default"/>
      </w:rPr>
    </w:lvl>
  </w:abstractNum>
  <w:abstractNum w:abstractNumId="15"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6A79FE"/>
    <w:multiLevelType w:val="hybridMultilevel"/>
    <w:tmpl w:val="B67ADB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686A35"/>
    <w:multiLevelType w:val="hybridMultilevel"/>
    <w:tmpl w:val="6BE466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2B03AF1"/>
    <w:multiLevelType w:val="hybridMultilevel"/>
    <w:tmpl w:val="BF2810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4821930"/>
    <w:multiLevelType w:val="hybridMultilevel"/>
    <w:tmpl w:val="05DADD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7113989"/>
    <w:multiLevelType w:val="hybridMultilevel"/>
    <w:tmpl w:val="1CE601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AF17DA3"/>
    <w:multiLevelType w:val="hybridMultilevel"/>
    <w:tmpl w:val="4454BCC2"/>
    <w:lvl w:ilvl="0" w:tplc="FE245642">
      <w:start w:val="1"/>
      <w:numFmt w:val="bullet"/>
      <w:lvlText w:val="•"/>
      <w:lvlJc w:val="left"/>
      <w:pPr>
        <w:tabs>
          <w:tab w:val="num" w:pos="720"/>
        </w:tabs>
        <w:ind w:left="720" w:hanging="360"/>
      </w:pPr>
      <w:rPr>
        <w:rFonts w:ascii="Arial" w:hAnsi="Arial" w:hint="default"/>
      </w:rPr>
    </w:lvl>
    <w:lvl w:ilvl="1" w:tplc="A15E1206" w:tentative="1">
      <w:start w:val="1"/>
      <w:numFmt w:val="bullet"/>
      <w:lvlText w:val="•"/>
      <w:lvlJc w:val="left"/>
      <w:pPr>
        <w:tabs>
          <w:tab w:val="num" w:pos="1440"/>
        </w:tabs>
        <w:ind w:left="1440" w:hanging="360"/>
      </w:pPr>
      <w:rPr>
        <w:rFonts w:ascii="Arial" w:hAnsi="Arial" w:hint="default"/>
      </w:rPr>
    </w:lvl>
    <w:lvl w:ilvl="2" w:tplc="D930BEAA" w:tentative="1">
      <w:start w:val="1"/>
      <w:numFmt w:val="bullet"/>
      <w:lvlText w:val="•"/>
      <w:lvlJc w:val="left"/>
      <w:pPr>
        <w:tabs>
          <w:tab w:val="num" w:pos="2160"/>
        </w:tabs>
        <w:ind w:left="2160" w:hanging="360"/>
      </w:pPr>
      <w:rPr>
        <w:rFonts w:ascii="Arial" w:hAnsi="Arial" w:hint="default"/>
      </w:rPr>
    </w:lvl>
    <w:lvl w:ilvl="3" w:tplc="0A42C87E" w:tentative="1">
      <w:start w:val="1"/>
      <w:numFmt w:val="bullet"/>
      <w:lvlText w:val="•"/>
      <w:lvlJc w:val="left"/>
      <w:pPr>
        <w:tabs>
          <w:tab w:val="num" w:pos="2880"/>
        </w:tabs>
        <w:ind w:left="2880" w:hanging="360"/>
      </w:pPr>
      <w:rPr>
        <w:rFonts w:ascii="Arial" w:hAnsi="Arial" w:hint="default"/>
      </w:rPr>
    </w:lvl>
    <w:lvl w:ilvl="4" w:tplc="05642EF6">
      <w:start w:val="1"/>
      <w:numFmt w:val="bullet"/>
      <w:lvlText w:val="•"/>
      <w:lvlJc w:val="left"/>
      <w:pPr>
        <w:tabs>
          <w:tab w:val="num" w:pos="3600"/>
        </w:tabs>
        <w:ind w:left="3600" w:hanging="360"/>
      </w:pPr>
      <w:rPr>
        <w:rFonts w:ascii="Arial" w:hAnsi="Arial" w:hint="default"/>
      </w:rPr>
    </w:lvl>
    <w:lvl w:ilvl="5" w:tplc="14706D66">
      <w:numFmt w:val="bullet"/>
      <w:lvlText w:val="•"/>
      <w:lvlJc w:val="left"/>
      <w:pPr>
        <w:tabs>
          <w:tab w:val="num" w:pos="4320"/>
        </w:tabs>
        <w:ind w:left="4320" w:hanging="360"/>
      </w:pPr>
      <w:rPr>
        <w:rFonts w:ascii="Arial" w:hAnsi="Arial" w:hint="default"/>
      </w:rPr>
    </w:lvl>
    <w:lvl w:ilvl="6" w:tplc="6C022A14" w:tentative="1">
      <w:start w:val="1"/>
      <w:numFmt w:val="bullet"/>
      <w:lvlText w:val="•"/>
      <w:lvlJc w:val="left"/>
      <w:pPr>
        <w:tabs>
          <w:tab w:val="num" w:pos="5040"/>
        </w:tabs>
        <w:ind w:left="5040" w:hanging="360"/>
      </w:pPr>
      <w:rPr>
        <w:rFonts w:ascii="Arial" w:hAnsi="Arial" w:hint="default"/>
      </w:rPr>
    </w:lvl>
    <w:lvl w:ilvl="7" w:tplc="C194F260" w:tentative="1">
      <w:start w:val="1"/>
      <w:numFmt w:val="bullet"/>
      <w:lvlText w:val="•"/>
      <w:lvlJc w:val="left"/>
      <w:pPr>
        <w:tabs>
          <w:tab w:val="num" w:pos="5760"/>
        </w:tabs>
        <w:ind w:left="5760" w:hanging="360"/>
      </w:pPr>
      <w:rPr>
        <w:rFonts w:ascii="Arial" w:hAnsi="Arial" w:hint="default"/>
      </w:rPr>
    </w:lvl>
    <w:lvl w:ilvl="8" w:tplc="F294DD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40B10DCF"/>
    <w:multiLevelType w:val="hybridMultilevel"/>
    <w:tmpl w:val="F162D82E"/>
    <w:lvl w:ilvl="0" w:tplc="B504ED30">
      <w:start w:val="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cs="Times New Roman" w:hint="default"/>
      </w:rPr>
    </w:lvl>
    <w:lvl w:ilvl="1" w:tplc="3EB4E480">
      <w:numFmt w:val="bullet"/>
      <w:lvlText w:val="–"/>
      <w:lvlJc w:val="left"/>
      <w:pPr>
        <w:tabs>
          <w:tab w:val="num" w:pos="1440"/>
        </w:tabs>
        <w:ind w:left="1440" w:hanging="360"/>
      </w:pPr>
      <w:rPr>
        <w:rFonts w:ascii="Arial" w:hAnsi="Arial" w:cs="Times New Roman" w:hint="default"/>
      </w:rPr>
    </w:lvl>
    <w:lvl w:ilvl="2" w:tplc="9F24AA4E">
      <w:numFmt w:val="bullet"/>
      <w:lvlText w:val="•"/>
      <w:lvlJc w:val="left"/>
      <w:pPr>
        <w:tabs>
          <w:tab w:val="num" w:pos="2160"/>
        </w:tabs>
        <w:ind w:left="2160" w:hanging="360"/>
      </w:pPr>
      <w:rPr>
        <w:rFonts w:ascii="Arial" w:hAnsi="Arial" w:cs="Times New Roman" w:hint="default"/>
      </w:rPr>
    </w:lvl>
    <w:lvl w:ilvl="3" w:tplc="E8ACBCFC">
      <w:start w:val="1"/>
      <w:numFmt w:val="bullet"/>
      <w:lvlText w:val="•"/>
      <w:lvlJc w:val="left"/>
      <w:pPr>
        <w:tabs>
          <w:tab w:val="num" w:pos="2880"/>
        </w:tabs>
        <w:ind w:left="2880" w:hanging="360"/>
      </w:pPr>
      <w:rPr>
        <w:rFonts w:ascii="Arial" w:hAnsi="Arial" w:cs="Times New Roman" w:hint="default"/>
      </w:rPr>
    </w:lvl>
    <w:lvl w:ilvl="4" w:tplc="8A6007F2">
      <w:start w:val="1"/>
      <w:numFmt w:val="bullet"/>
      <w:lvlText w:val="•"/>
      <w:lvlJc w:val="left"/>
      <w:pPr>
        <w:tabs>
          <w:tab w:val="num" w:pos="3600"/>
        </w:tabs>
        <w:ind w:left="3600" w:hanging="360"/>
      </w:pPr>
      <w:rPr>
        <w:rFonts w:ascii="Arial" w:hAnsi="Arial" w:cs="Times New Roman" w:hint="default"/>
      </w:rPr>
    </w:lvl>
    <w:lvl w:ilvl="5" w:tplc="08E6B3EC">
      <w:start w:val="1"/>
      <w:numFmt w:val="bullet"/>
      <w:lvlText w:val="•"/>
      <w:lvlJc w:val="left"/>
      <w:pPr>
        <w:tabs>
          <w:tab w:val="num" w:pos="4320"/>
        </w:tabs>
        <w:ind w:left="4320" w:hanging="360"/>
      </w:pPr>
      <w:rPr>
        <w:rFonts w:ascii="Arial" w:hAnsi="Arial" w:cs="Times New Roman" w:hint="default"/>
      </w:rPr>
    </w:lvl>
    <w:lvl w:ilvl="6" w:tplc="16866B44">
      <w:start w:val="1"/>
      <w:numFmt w:val="bullet"/>
      <w:lvlText w:val="•"/>
      <w:lvlJc w:val="left"/>
      <w:pPr>
        <w:tabs>
          <w:tab w:val="num" w:pos="5040"/>
        </w:tabs>
        <w:ind w:left="5040" w:hanging="360"/>
      </w:pPr>
      <w:rPr>
        <w:rFonts w:ascii="Arial" w:hAnsi="Arial" w:cs="Times New Roman" w:hint="default"/>
      </w:rPr>
    </w:lvl>
    <w:lvl w:ilvl="7" w:tplc="9C6EAA74">
      <w:start w:val="1"/>
      <w:numFmt w:val="bullet"/>
      <w:lvlText w:val="•"/>
      <w:lvlJc w:val="left"/>
      <w:pPr>
        <w:tabs>
          <w:tab w:val="num" w:pos="5760"/>
        </w:tabs>
        <w:ind w:left="5760" w:hanging="360"/>
      </w:pPr>
      <w:rPr>
        <w:rFonts w:ascii="Arial" w:hAnsi="Arial" w:cs="Times New Roman" w:hint="default"/>
      </w:rPr>
    </w:lvl>
    <w:lvl w:ilvl="8" w:tplc="AB6C015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7F435C"/>
    <w:multiLevelType w:val="hybridMultilevel"/>
    <w:tmpl w:val="D97866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C1E3356"/>
    <w:multiLevelType w:val="hybridMultilevel"/>
    <w:tmpl w:val="54F83D6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607A96"/>
    <w:multiLevelType w:val="hybridMultilevel"/>
    <w:tmpl w:val="301E696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3" w15:restartNumberingAfterBreak="0">
    <w:nsid w:val="621E7493"/>
    <w:multiLevelType w:val="hybridMultilevel"/>
    <w:tmpl w:val="0B6A3FE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4" w15:restartNumberingAfterBreak="0">
    <w:nsid w:val="67600A8D"/>
    <w:multiLevelType w:val="hybridMultilevel"/>
    <w:tmpl w:val="01486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1580AD6"/>
    <w:multiLevelType w:val="hybridMultilevel"/>
    <w:tmpl w:val="BF3CE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6142B54"/>
    <w:multiLevelType w:val="hybridMultilevel"/>
    <w:tmpl w:val="BD24B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761F5AE2"/>
    <w:multiLevelType w:val="hybridMultilevel"/>
    <w:tmpl w:val="C73A785A"/>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65" w15:restartNumberingAfterBreak="0">
    <w:nsid w:val="78830CDB"/>
    <w:multiLevelType w:val="hybridMultilevel"/>
    <w:tmpl w:val="94C84480"/>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6"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8"/>
  </w:num>
  <w:num w:numId="3">
    <w:abstractNumId w:val="28"/>
  </w:num>
  <w:num w:numId="4">
    <w:abstractNumId w:val="23"/>
  </w:num>
  <w:num w:numId="5">
    <w:abstractNumId w:val="59"/>
  </w:num>
  <w:num w:numId="6">
    <w:abstractNumId w:val="16"/>
  </w:num>
  <w:num w:numId="7">
    <w:abstractNumId w:val="56"/>
  </w:num>
  <w:num w:numId="8">
    <w:abstractNumId w:val="40"/>
  </w:num>
  <w:num w:numId="9">
    <w:abstractNumId w:val="57"/>
  </w:num>
  <w:num w:numId="10">
    <w:abstractNumId w:val="32"/>
  </w:num>
  <w:num w:numId="11">
    <w:abstractNumId w:val="1"/>
  </w:num>
  <w:num w:numId="12">
    <w:abstractNumId w:val="25"/>
  </w:num>
  <w:num w:numId="13">
    <w:abstractNumId w:val="34"/>
  </w:num>
  <w:num w:numId="14">
    <w:abstractNumId w:val="11"/>
  </w:num>
  <w:num w:numId="15">
    <w:abstractNumId w:val="46"/>
  </w:num>
  <w:num w:numId="16">
    <w:abstractNumId w:val="37"/>
  </w:num>
  <w:num w:numId="17">
    <w:abstractNumId w:val="30"/>
  </w:num>
  <w:num w:numId="18">
    <w:abstractNumId w:val="62"/>
  </w:num>
  <w:num w:numId="19">
    <w:abstractNumId w:val="15"/>
  </w:num>
  <w:num w:numId="20">
    <w:abstractNumId w:val="42"/>
  </w:num>
  <w:num w:numId="21">
    <w:abstractNumId w:val="13"/>
  </w:num>
  <w:num w:numId="22">
    <w:abstractNumId w:val="38"/>
  </w:num>
  <w:num w:numId="23">
    <w:abstractNumId w:val="36"/>
  </w:num>
  <w:num w:numId="24">
    <w:abstractNumId w:val="2"/>
  </w:num>
  <w:num w:numId="25">
    <w:abstractNumId w:val="55"/>
  </w:num>
  <w:num w:numId="26">
    <w:abstractNumId w:val="21"/>
  </w:num>
  <w:num w:numId="27">
    <w:abstractNumId w:val="4"/>
  </w:num>
  <w:num w:numId="28">
    <w:abstractNumId w:val="6"/>
  </w:num>
  <w:num w:numId="29">
    <w:abstractNumId w:val="61"/>
  </w:num>
  <w:num w:numId="30">
    <w:abstractNumId w:val="58"/>
  </w:num>
  <w:num w:numId="31">
    <w:abstractNumId w:val="3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9"/>
  </w:num>
  <w:num w:numId="35">
    <w:abstractNumId w:val="44"/>
  </w:num>
  <w:num w:numId="36">
    <w:abstractNumId w:val="22"/>
  </w:num>
  <w:num w:numId="37">
    <w:abstractNumId w:val="37"/>
  </w:num>
  <w:num w:numId="38">
    <w:abstractNumId w:val="39"/>
  </w:num>
  <w:num w:numId="39">
    <w:abstractNumId w:val="0"/>
  </w:num>
  <w:num w:numId="40">
    <w:abstractNumId w:val="33"/>
  </w:num>
  <w:num w:numId="41">
    <w:abstractNumId w:val="45"/>
  </w:num>
  <w:num w:numId="42">
    <w:abstractNumId w:val="53"/>
  </w:num>
  <w:num w:numId="43">
    <w:abstractNumId w:val="9"/>
  </w:num>
  <w:num w:numId="44">
    <w:abstractNumId w:val="65"/>
  </w:num>
  <w:num w:numId="45">
    <w:abstractNumId w:val="48"/>
  </w:num>
  <w:num w:numId="46">
    <w:abstractNumId w:val="17"/>
  </w:num>
  <w:num w:numId="47">
    <w:abstractNumId w:val="60"/>
  </w:num>
  <w:num w:numId="48">
    <w:abstractNumId w:val="54"/>
  </w:num>
  <w:num w:numId="49">
    <w:abstractNumId w:val="31"/>
  </w:num>
  <w:num w:numId="50">
    <w:abstractNumId w:val="41"/>
  </w:num>
  <w:num w:numId="51">
    <w:abstractNumId w:val="49"/>
  </w:num>
  <w:num w:numId="52">
    <w:abstractNumId w:val="52"/>
  </w:num>
  <w:num w:numId="53">
    <w:abstractNumId w:val="14"/>
  </w:num>
  <w:num w:numId="54">
    <w:abstractNumId w:val="51"/>
  </w:num>
  <w:num w:numId="55">
    <w:abstractNumId w:val="43"/>
  </w:num>
  <w:num w:numId="56">
    <w:abstractNumId w:val="47"/>
  </w:num>
  <w:num w:numId="57">
    <w:abstractNumId w:val="50"/>
  </w:num>
  <w:num w:numId="58">
    <w:abstractNumId w:val="20"/>
  </w:num>
  <w:num w:numId="59">
    <w:abstractNumId w:val="66"/>
  </w:num>
  <w:num w:numId="60">
    <w:abstractNumId w:val="10"/>
  </w:num>
  <w:num w:numId="61">
    <w:abstractNumId w:val="24"/>
  </w:num>
  <w:num w:numId="62">
    <w:abstractNumId w:val="12"/>
  </w:num>
  <w:num w:numId="6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9"/>
  </w:num>
  <w:num w:numId="65">
    <w:abstractNumId w:val="31"/>
  </w:num>
  <w:num w:numId="66">
    <w:abstractNumId w:val="64"/>
  </w:num>
  <w:num w:numId="67">
    <w:abstractNumId w:val="26"/>
  </w:num>
  <w:num w:numId="68">
    <w:abstractNumId w:val="63"/>
  </w:num>
  <w:num w:numId="69">
    <w:abstractNumId w:val="27"/>
  </w:num>
  <w:num w:numId="70">
    <w:abstractNumId w:val="7"/>
  </w:num>
  <w:num w:numId="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097"/>
    <w:rsid w:val="0003072D"/>
    <w:rsid w:val="000314CD"/>
    <w:rsid w:val="000317D2"/>
    <w:rsid w:val="00033544"/>
    <w:rsid w:val="0003479E"/>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03DB"/>
    <w:rsid w:val="000804F7"/>
    <w:rsid w:val="00081EC2"/>
    <w:rsid w:val="00083800"/>
    <w:rsid w:val="00084A65"/>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873"/>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4570"/>
    <w:rsid w:val="0019572D"/>
    <w:rsid w:val="00196BF4"/>
    <w:rsid w:val="001972DA"/>
    <w:rsid w:val="001976AA"/>
    <w:rsid w:val="001A08B4"/>
    <w:rsid w:val="001A0C1F"/>
    <w:rsid w:val="001A15C6"/>
    <w:rsid w:val="001A3D32"/>
    <w:rsid w:val="001A5E19"/>
    <w:rsid w:val="001B01FA"/>
    <w:rsid w:val="001B0832"/>
    <w:rsid w:val="001B15FC"/>
    <w:rsid w:val="001B18A7"/>
    <w:rsid w:val="001B36FC"/>
    <w:rsid w:val="001B41ED"/>
    <w:rsid w:val="001B4607"/>
    <w:rsid w:val="001B5941"/>
    <w:rsid w:val="001B7E0C"/>
    <w:rsid w:val="001C0674"/>
    <w:rsid w:val="001C182D"/>
    <w:rsid w:val="001C226F"/>
    <w:rsid w:val="001C66AC"/>
    <w:rsid w:val="001C66EE"/>
    <w:rsid w:val="001C6754"/>
    <w:rsid w:val="001C77F0"/>
    <w:rsid w:val="001D46A0"/>
    <w:rsid w:val="001D7282"/>
    <w:rsid w:val="001D7A56"/>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CD5"/>
    <w:rsid w:val="001F4DAC"/>
    <w:rsid w:val="001F5019"/>
    <w:rsid w:val="001F67AA"/>
    <w:rsid w:val="001F7599"/>
    <w:rsid w:val="0020077E"/>
    <w:rsid w:val="00204B3A"/>
    <w:rsid w:val="00204FCD"/>
    <w:rsid w:val="0020535A"/>
    <w:rsid w:val="00206955"/>
    <w:rsid w:val="00210309"/>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51AD6"/>
    <w:rsid w:val="00251EAE"/>
    <w:rsid w:val="00252C17"/>
    <w:rsid w:val="0025307F"/>
    <w:rsid w:val="002551BD"/>
    <w:rsid w:val="002568D0"/>
    <w:rsid w:val="00262661"/>
    <w:rsid w:val="002632DF"/>
    <w:rsid w:val="002640BA"/>
    <w:rsid w:val="00264CF2"/>
    <w:rsid w:val="00265276"/>
    <w:rsid w:val="00267587"/>
    <w:rsid w:val="00271589"/>
    <w:rsid w:val="00273177"/>
    <w:rsid w:val="00275074"/>
    <w:rsid w:val="002763E9"/>
    <w:rsid w:val="00276736"/>
    <w:rsid w:val="002774DB"/>
    <w:rsid w:val="00277DD0"/>
    <w:rsid w:val="002830DC"/>
    <w:rsid w:val="00283309"/>
    <w:rsid w:val="00284E32"/>
    <w:rsid w:val="002851EB"/>
    <w:rsid w:val="00285510"/>
    <w:rsid w:val="00285DE2"/>
    <w:rsid w:val="0028616D"/>
    <w:rsid w:val="00286965"/>
    <w:rsid w:val="0029136E"/>
    <w:rsid w:val="00292399"/>
    <w:rsid w:val="00294445"/>
    <w:rsid w:val="00294B4D"/>
    <w:rsid w:val="00295C46"/>
    <w:rsid w:val="002960D5"/>
    <w:rsid w:val="0029703E"/>
    <w:rsid w:val="002A027C"/>
    <w:rsid w:val="002A1062"/>
    <w:rsid w:val="002A2413"/>
    <w:rsid w:val="002A2F5E"/>
    <w:rsid w:val="002A352A"/>
    <w:rsid w:val="002A607D"/>
    <w:rsid w:val="002A6B09"/>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2D6"/>
    <w:rsid w:val="002F695B"/>
    <w:rsid w:val="002F72DA"/>
    <w:rsid w:val="002F76B1"/>
    <w:rsid w:val="002F7D66"/>
    <w:rsid w:val="002F7DBE"/>
    <w:rsid w:val="0030090B"/>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745"/>
    <w:rsid w:val="00357B9C"/>
    <w:rsid w:val="00361412"/>
    <w:rsid w:val="003615CA"/>
    <w:rsid w:val="00362017"/>
    <w:rsid w:val="00363B5F"/>
    <w:rsid w:val="003642A6"/>
    <w:rsid w:val="00367337"/>
    <w:rsid w:val="00367FD8"/>
    <w:rsid w:val="00370B63"/>
    <w:rsid w:val="00370FCC"/>
    <w:rsid w:val="003711AF"/>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3E44"/>
    <w:rsid w:val="00397AB6"/>
    <w:rsid w:val="00397ACA"/>
    <w:rsid w:val="003A0DA6"/>
    <w:rsid w:val="003A10C3"/>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938"/>
    <w:rsid w:val="003D2A84"/>
    <w:rsid w:val="003D3FBA"/>
    <w:rsid w:val="003D402B"/>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50AE"/>
    <w:rsid w:val="00406B4D"/>
    <w:rsid w:val="004142CD"/>
    <w:rsid w:val="0041443C"/>
    <w:rsid w:val="004154F7"/>
    <w:rsid w:val="00417285"/>
    <w:rsid w:val="004176FF"/>
    <w:rsid w:val="004241C5"/>
    <w:rsid w:val="00424FA7"/>
    <w:rsid w:val="00426A87"/>
    <w:rsid w:val="004309D8"/>
    <w:rsid w:val="004313D1"/>
    <w:rsid w:val="00432110"/>
    <w:rsid w:val="00433EBE"/>
    <w:rsid w:val="00434406"/>
    <w:rsid w:val="00435EF3"/>
    <w:rsid w:val="00441B92"/>
    <w:rsid w:val="0044321F"/>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5B23"/>
    <w:rsid w:val="004874E4"/>
    <w:rsid w:val="0049070D"/>
    <w:rsid w:val="0049108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4224"/>
    <w:rsid w:val="004B45B5"/>
    <w:rsid w:val="004B4647"/>
    <w:rsid w:val="004B5F77"/>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7DA8"/>
    <w:rsid w:val="004E2892"/>
    <w:rsid w:val="004E362B"/>
    <w:rsid w:val="004E3681"/>
    <w:rsid w:val="004E3D74"/>
    <w:rsid w:val="004E4075"/>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91D"/>
    <w:rsid w:val="00520727"/>
    <w:rsid w:val="00522A64"/>
    <w:rsid w:val="00522AF3"/>
    <w:rsid w:val="00523E75"/>
    <w:rsid w:val="005243E0"/>
    <w:rsid w:val="005256F3"/>
    <w:rsid w:val="005265A3"/>
    <w:rsid w:val="00526783"/>
    <w:rsid w:val="005277B9"/>
    <w:rsid w:val="00527FB1"/>
    <w:rsid w:val="005308FE"/>
    <w:rsid w:val="0053162F"/>
    <w:rsid w:val="00531777"/>
    <w:rsid w:val="00532701"/>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4C69"/>
    <w:rsid w:val="00587229"/>
    <w:rsid w:val="00587503"/>
    <w:rsid w:val="00587E2C"/>
    <w:rsid w:val="00590E8D"/>
    <w:rsid w:val="00591511"/>
    <w:rsid w:val="0059331A"/>
    <w:rsid w:val="00595799"/>
    <w:rsid w:val="00596BBA"/>
    <w:rsid w:val="005975C4"/>
    <w:rsid w:val="00597ED8"/>
    <w:rsid w:val="005A2E77"/>
    <w:rsid w:val="005A34D5"/>
    <w:rsid w:val="005A3A3E"/>
    <w:rsid w:val="005A4904"/>
    <w:rsid w:val="005A515A"/>
    <w:rsid w:val="005A5DB8"/>
    <w:rsid w:val="005A704D"/>
    <w:rsid w:val="005B3C6D"/>
    <w:rsid w:val="005B609E"/>
    <w:rsid w:val="005B6DF6"/>
    <w:rsid w:val="005B6F17"/>
    <w:rsid w:val="005B7B7D"/>
    <w:rsid w:val="005C148B"/>
    <w:rsid w:val="005C1948"/>
    <w:rsid w:val="005C214A"/>
    <w:rsid w:val="005C263C"/>
    <w:rsid w:val="005C2679"/>
    <w:rsid w:val="005C5013"/>
    <w:rsid w:val="005D07C5"/>
    <w:rsid w:val="005D4302"/>
    <w:rsid w:val="005D5A20"/>
    <w:rsid w:val="005D5F19"/>
    <w:rsid w:val="005D6C09"/>
    <w:rsid w:val="005D786C"/>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51AA"/>
    <w:rsid w:val="0060683E"/>
    <w:rsid w:val="00606A26"/>
    <w:rsid w:val="00607D81"/>
    <w:rsid w:val="00610747"/>
    <w:rsid w:val="006107C9"/>
    <w:rsid w:val="0061176E"/>
    <w:rsid w:val="00614CD1"/>
    <w:rsid w:val="0061567B"/>
    <w:rsid w:val="0062152A"/>
    <w:rsid w:val="00623583"/>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DFC"/>
    <w:rsid w:val="00666EBB"/>
    <w:rsid w:val="0066779E"/>
    <w:rsid w:val="0067269D"/>
    <w:rsid w:val="00672988"/>
    <w:rsid w:val="006740B3"/>
    <w:rsid w:val="00674E6A"/>
    <w:rsid w:val="006751A5"/>
    <w:rsid w:val="00676A64"/>
    <w:rsid w:val="00677925"/>
    <w:rsid w:val="00680B71"/>
    <w:rsid w:val="00680F46"/>
    <w:rsid w:val="00681E7A"/>
    <w:rsid w:val="00682B53"/>
    <w:rsid w:val="00682F27"/>
    <w:rsid w:val="00685896"/>
    <w:rsid w:val="00686F6F"/>
    <w:rsid w:val="00690E2E"/>
    <w:rsid w:val="0069145F"/>
    <w:rsid w:val="00692297"/>
    <w:rsid w:val="006932E7"/>
    <w:rsid w:val="00693347"/>
    <w:rsid w:val="0069334C"/>
    <w:rsid w:val="00696D63"/>
    <w:rsid w:val="00697F1C"/>
    <w:rsid w:val="006A032F"/>
    <w:rsid w:val="006A1D91"/>
    <w:rsid w:val="006A41AE"/>
    <w:rsid w:val="006A4856"/>
    <w:rsid w:val="006A564B"/>
    <w:rsid w:val="006B1545"/>
    <w:rsid w:val="006B2DA7"/>
    <w:rsid w:val="006B2F4D"/>
    <w:rsid w:val="006B3682"/>
    <w:rsid w:val="006B4498"/>
    <w:rsid w:val="006B48CB"/>
    <w:rsid w:val="006B4DB2"/>
    <w:rsid w:val="006B6A50"/>
    <w:rsid w:val="006B7B35"/>
    <w:rsid w:val="006C1445"/>
    <w:rsid w:val="006C4FC1"/>
    <w:rsid w:val="006C529D"/>
    <w:rsid w:val="006D0E6B"/>
    <w:rsid w:val="006D2146"/>
    <w:rsid w:val="006D500F"/>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A05"/>
    <w:rsid w:val="00735C6F"/>
    <w:rsid w:val="00735F5D"/>
    <w:rsid w:val="00750585"/>
    <w:rsid w:val="00750CFC"/>
    <w:rsid w:val="00753BB5"/>
    <w:rsid w:val="00754993"/>
    <w:rsid w:val="00756832"/>
    <w:rsid w:val="007618DE"/>
    <w:rsid w:val="007626D0"/>
    <w:rsid w:val="007633BC"/>
    <w:rsid w:val="007651CA"/>
    <w:rsid w:val="00767519"/>
    <w:rsid w:val="007704E1"/>
    <w:rsid w:val="00770529"/>
    <w:rsid w:val="00772569"/>
    <w:rsid w:val="00772E8C"/>
    <w:rsid w:val="007736D3"/>
    <w:rsid w:val="0077500F"/>
    <w:rsid w:val="0077548E"/>
    <w:rsid w:val="00777315"/>
    <w:rsid w:val="007775B5"/>
    <w:rsid w:val="00780919"/>
    <w:rsid w:val="007826C8"/>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0CA4"/>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0A9F"/>
    <w:rsid w:val="008A16F9"/>
    <w:rsid w:val="008A1D3E"/>
    <w:rsid w:val="008A2C4E"/>
    <w:rsid w:val="008A4B16"/>
    <w:rsid w:val="008A4D63"/>
    <w:rsid w:val="008A6D62"/>
    <w:rsid w:val="008A7A69"/>
    <w:rsid w:val="008B3B51"/>
    <w:rsid w:val="008B4057"/>
    <w:rsid w:val="008B4145"/>
    <w:rsid w:val="008B5290"/>
    <w:rsid w:val="008B5551"/>
    <w:rsid w:val="008C2CFD"/>
    <w:rsid w:val="008C3453"/>
    <w:rsid w:val="008C4E61"/>
    <w:rsid w:val="008C603A"/>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306"/>
    <w:rsid w:val="00996744"/>
    <w:rsid w:val="00997CF4"/>
    <w:rsid w:val="009A1169"/>
    <w:rsid w:val="009A3789"/>
    <w:rsid w:val="009A6094"/>
    <w:rsid w:val="009A6919"/>
    <w:rsid w:val="009A6AC7"/>
    <w:rsid w:val="009B0408"/>
    <w:rsid w:val="009B0843"/>
    <w:rsid w:val="009B1E47"/>
    <w:rsid w:val="009B2CED"/>
    <w:rsid w:val="009B5D1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E2730"/>
    <w:rsid w:val="009E3CD1"/>
    <w:rsid w:val="009E50DE"/>
    <w:rsid w:val="009E5AF5"/>
    <w:rsid w:val="009E5EB5"/>
    <w:rsid w:val="009E6291"/>
    <w:rsid w:val="009E74F0"/>
    <w:rsid w:val="009F0768"/>
    <w:rsid w:val="009F17CE"/>
    <w:rsid w:val="009F7867"/>
    <w:rsid w:val="009F7D66"/>
    <w:rsid w:val="00A00BD2"/>
    <w:rsid w:val="00A00E56"/>
    <w:rsid w:val="00A027F3"/>
    <w:rsid w:val="00A02A9F"/>
    <w:rsid w:val="00A03978"/>
    <w:rsid w:val="00A07E08"/>
    <w:rsid w:val="00A1179A"/>
    <w:rsid w:val="00A12798"/>
    <w:rsid w:val="00A12B8F"/>
    <w:rsid w:val="00A142A2"/>
    <w:rsid w:val="00A153BE"/>
    <w:rsid w:val="00A15DEE"/>
    <w:rsid w:val="00A167B5"/>
    <w:rsid w:val="00A16DBE"/>
    <w:rsid w:val="00A178EA"/>
    <w:rsid w:val="00A17C4F"/>
    <w:rsid w:val="00A20818"/>
    <w:rsid w:val="00A20A39"/>
    <w:rsid w:val="00A22EAA"/>
    <w:rsid w:val="00A2352E"/>
    <w:rsid w:val="00A238BD"/>
    <w:rsid w:val="00A2459D"/>
    <w:rsid w:val="00A24E23"/>
    <w:rsid w:val="00A25F05"/>
    <w:rsid w:val="00A311AE"/>
    <w:rsid w:val="00A312A6"/>
    <w:rsid w:val="00A3130E"/>
    <w:rsid w:val="00A324CF"/>
    <w:rsid w:val="00A325D1"/>
    <w:rsid w:val="00A32E8B"/>
    <w:rsid w:val="00A32ED6"/>
    <w:rsid w:val="00A344A5"/>
    <w:rsid w:val="00A346C3"/>
    <w:rsid w:val="00A3650B"/>
    <w:rsid w:val="00A421CD"/>
    <w:rsid w:val="00A42D07"/>
    <w:rsid w:val="00A43DF3"/>
    <w:rsid w:val="00A450C0"/>
    <w:rsid w:val="00A45468"/>
    <w:rsid w:val="00A45EF2"/>
    <w:rsid w:val="00A4791B"/>
    <w:rsid w:val="00A50A48"/>
    <w:rsid w:val="00A50A5D"/>
    <w:rsid w:val="00A51522"/>
    <w:rsid w:val="00A51573"/>
    <w:rsid w:val="00A51A5E"/>
    <w:rsid w:val="00A52895"/>
    <w:rsid w:val="00A53DA0"/>
    <w:rsid w:val="00A5765D"/>
    <w:rsid w:val="00A60212"/>
    <w:rsid w:val="00A607CB"/>
    <w:rsid w:val="00A62EBF"/>
    <w:rsid w:val="00A6351F"/>
    <w:rsid w:val="00A65A70"/>
    <w:rsid w:val="00A66F36"/>
    <w:rsid w:val="00A676D9"/>
    <w:rsid w:val="00A67EFC"/>
    <w:rsid w:val="00A7031E"/>
    <w:rsid w:val="00A71140"/>
    <w:rsid w:val="00A7338B"/>
    <w:rsid w:val="00A74692"/>
    <w:rsid w:val="00A7618B"/>
    <w:rsid w:val="00A7640B"/>
    <w:rsid w:val="00A7778B"/>
    <w:rsid w:val="00A77C29"/>
    <w:rsid w:val="00A803BC"/>
    <w:rsid w:val="00A80969"/>
    <w:rsid w:val="00A861D7"/>
    <w:rsid w:val="00A86EA7"/>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500CD"/>
    <w:rsid w:val="00B51709"/>
    <w:rsid w:val="00B5239C"/>
    <w:rsid w:val="00B53893"/>
    <w:rsid w:val="00B548C2"/>
    <w:rsid w:val="00B55428"/>
    <w:rsid w:val="00B570BF"/>
    <w:rsid w:val="00B63337"/>
    <w:rsid w:val="00B6369F"/>
    <w:rsid w:val="00B639D7"/>
    <w:rsid w:val="00B64898"/>
    <w:rsid w:val="00B67613"/>
    <w:rsid w:val="00B67805"/>
    <w:rsid w:val="00B70284"/>
    <w:rsid w:val="00B7267A"/>
    <w:rsid w:val="00B726FF"/>
    <w:rsid w:val="00B72AA4"/>
    <w:rsid w:val="00B74781"/>
    <w:rsid w:val="00B76BCD"/>
    <w:rsid w:val="00B76EE9"/>
    <w:rsid w:val="00B77880"/>
    <w:rsid w:val="00B8035E"/>
    <w:rsid w:val="00B80D90"/>
    <w:rsid w:val="00B82613"/>
    <w:rsid w:val="00B828B5"/>
    <w:rsid w:val="00B82DD1"/>
    <w:rsid w:val="00B84E9C"/>
    <w:rsid w:val="00B85522"/>
    <w:rsid w:val="00B90E2A"/>
    <w:rsid w:val="00B90F2A"/>
    <w:rsid w:val="00B9198D"/>
    <w:rsid w:val="00B93008"/>
    <w:rsid w:val="00B9406D"/>
    <w:rsid w:val="00B94BA7"/>
    <w:rsid w:val="00B94E0E"/>
    <w:rsid w:val="00B97CA3"/>
    <w:rsid w:val="00BA1AB0"/>
    <w:rsid w:val="00BA76A9"/>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8FA"/>
    <w:rsid w:val="00BD598A"/>
    <w:rsid w:val="00BD75B4"/>
    <w:rsid w:val="00BD7D14"/>
    <w:rsid w:val="00BE02B4"/>
    <w:rsid w:val="00BE0B81"/>
    <w:rsid w:val="00BE5A36"/>
    <w:rsid w:val="00BE631E"/>
    <w:rsid w:val="00BE7D45"/>
    <w:rsid w:val="00BF0CCF"/>
    <w:rsid w:val="00BF0FC5"/>
    <w:rsid w:val="00BF10BC"/>
    <w:rsid w:val="00BF21AC"/>
    <w:rsid w:val="00BF2E53"/>
    <w:rsid w:val="00BF3669"/>
    <w:rsid w:val="00BF3C0D"/>
    <w:rsid w:val="00C011A3"/>
    <w:rsid w:val="00C03309"/>
    <w:rsid w:val="00C04FE5"/>
    <w:rsid w:val="00C072FE"/>
    <w:rsid w:val="00C12417"/>
    <w:rsid w:val="00C12E39"/>
    <w:rsid w:val="00C136F1"/>
    <w:rsid w:val="00C14164"/>
    <w:rsid w:val="00C14851"/>
    <w:rsid w:val="00C15D8E"/>
    <w:rsid w:val="00C17012"/>
    <w:rsid w:val="00C178FB"/>
    <w:rsid w:val="00C2385C"/>
    <w:rsid w:val="00C257B7"/>
    <w:rsid w:val="00C272E8"/>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A6A"/>
    <w:rsid w:val="00C61D4B"/>
    <w:rsid w:val="00C62B0A"/>
    <w:rsid w:val="00C63F08"/>
    <w:rsid w:val="00C646EE"/>
    <w:rsid w:val="00C6528C"/>
    <w:rsid w:val="00C661E8"/>
    <w:rsid w:val="00C70084"/>
    <w:rsid w:val="00C7235B"/>
    <w:rsid w:val="00C72E18"/>
    <w:rsid w:val="00C7380B"/>
    <w:rsid w:val="00C74421"/>
    <w:rsid w:val="00C75F2F"/>
    <w:rsid w:val="00C75FEE"/>
    <w:rsid w:val="00C76F1D"/>
    <w:rsid w:val="00C779D8"/>
    <w:rsid w:val="00C77D26"/>
    <w:rsid w:val="00C82BBB"/>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C58"/>
    <w:rsid w:val="00CC26DB"/>
    <w:rsid w:val="00CC3DAA"/>
    <w:rsid w:val="00CC4C2C"/>
    <w:rsid w:val="00CC5057"/>
    <w:rsid w:val="00CC5347"/>
    <w:rsid w:val="00CC6A4F"/>
    <w:rsid w:val="00CD078F"/>
    <w:rsid w:val="00CD121E"/>
    <w:rsid w:val="00CD3594"/>
    <w:rsid w:val="00CD3ED8"/>
    <w:rsid w:val="00CD464F"/>
    <w:rsid w:val="00CD5E97"/>
    <w:rsid w:val="00CD6E97"/>
    <w:rsid w:val="00CD761D"/>
    <w:rsid w:val="00CD76B5"/>
    <w:rsid w:val="00CD7E3B"/>
    <w:rsid w:val="00CE160B"/>
    <w:rsid w:val="00CE18DD"/>
    <w:rsid w:val="00CE2346"/>
    <w:rsid w:val="00CE6F0F"/>
    <w:rsid w:val="00CF002F"/>
    <w:rsid w:val="00CF0246"/>
    <w:rsid w:val="00CF1305"/>
    <w:rsid w:val="00CF2483"/>
    <w:rsid w:val="00CF24E2"/>
    <w:rsid w:val="00CF4ABD"/>
    <w:rsid w:val="00CF5A53"/>
    <w:rsid w:val="00CF5D28"/>
    <w:rsid w:val="00CF6F1E"/>
    <w:rsid w:val="00D001F9"/>
    <w:rsid w:val="00D0036E"/>
    <w:rsid w:val="00D00BB7"/>
    <w:rsid w:val="00D01EAD"/>
    <w:rsid w:val="00D035B9"/>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8E0"/>
    <w:rsid w:val="00D44932"/>
    <w:rsid w:val="00D46111"/>
    <w:rsid w:val="00D47C16"/>
    <w:rsid w:val="00D502AF"/>
    <w:rsid w:val="00D50764"/>
    <w:rsid w:val="00D50C12"/>
    <w:rsid w:val="00D51A77"/>
    <w:rsid w:val="00D52498"/>
    <w:rsid w:val="00D53830"/>
    <w:rsid w:val="00D55889"/>
    <w:rsid w:val="00D57AF0"/>
    <w:rsid w:val="00D57D27"/>
    <w:rsid w:val="00D6267E"/>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6A80"/>
    <w:rsid w:val="00DB6C06"/>
    <w:rsid w:val="00DB7128"/>
    <w:rsid w:val="00DB7B06"/>
    <w:rsid w:val="00DC0DC2"/>
    <w:rsid w:val="00DC129F"/>
    <w:rsid w:val="00DC3A9D"/>
    <w:rsid w:val="00DC413A"/>
    <w:rsid w:val="00DC4EC1"/>
    <w:rsid w:val="00DC51EB"/>
    <w:rsid w:val="00DC6C1E"/>
    <w:rsid w:val="00DC7951"/>
    <w:rsid w:val="00DD1222"/>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416D"/>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2EBB"/>
    <w:rsid w:val="00E43759"/>
    <w:rsid w:val="00E43E59"/>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2C48"/>
    <w:rsid w:val="00E74F5D"/>
    <w:rsid w:val="00E74F79"/>
    <w:rsid w:val="00E75645"/>
    <w:rsid w:val="00E7602A"/>
    <w:rsid w:val="00E76034"/>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6A29"/>
    <w:rsid w:val="00E96FAE"/>
    <w:rsid w:val="00E96FE6"/>
    <w:rsid w:val="00EA172C"/>
    <w:rsid w:val="00EA1D43"/>
    <w:rsid w:val="00EA4EC9"/>
    <w:rsid w:val="00EA5E0F"/>
    <w:rsid w:val="00EA6FE4"/>
    <w:rsid w:val="00EA748A"/>
    <w:rsid w:val="00EA7B1F"/>
    <w:rsid w:val="00EA7F4C"/>
    <w:rsid w:val="00EB1D47"/>
    <w:rsid w:val="00EB2317"/>
    <w:rsid w:val="00EB279B"/>
    <w:rsid w:val="00EB2ABB"/>
    <w:rsid w:val="00EB5D88"/>
    <w:rsid w:val="00EB678D"/>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A6D"/>
    <w:rsid w:val="00ED6D4A"/>
    <w:rsid w:val="00ED738C"/>
    <w:rsid w:val="00ED7918"/>
    <w:rsid w:val="00ED7E6A"/>
    <w:rsid w:val="00ED7FD3"/>
    <w:rsid w:val="00EE3663"/>
    <w:rsid w:val="00EE41C4"/>
    <w:rsid w:val="00EE4EAC"/>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3636B"/>
    <w:rsid w:val="00F4130F"/>
    <w:rsid w:val="00F4275C"/>
    <w:rsid w:val="00F44A01"/>
    <w:rsid w:val="00F52043"/>
    <w:rsid w:val="00F52339"/>
    <w:rsid w:val="00F5277A"/>
    <w:rsid w:val="00F532E8"/>
    <w:rsid w:val="00F537FF"/>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200338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5AIRPNAIUNRU-1830940522-2280</_dlc_DocId>
    <_dlc_DocIdUrl xmlns="71c5aaf6-e6ce-465b-b873-5148d2a4c105">
      <Url>https://nokia.sharepoint.com/sites/c5g/5gradio/_layouts/15/DocIdRedir.aspx?ID=5AIRPNAIUNRU-1830940522-2280</Url>
      <Description>5AIRPNAIUNRU-1830940522-2280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8B79AED-1BD8-49CC-8CE0-1B96B7FDC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FB3893EF-A87E-4E65-B510-6290F4214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4204</Words>
  <Characters>23965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 Ranta-aho</cp:lastModifiedBy>
  <cp:revision>2</cp:revision>
  <cp:lastPrinted>2016-09-26T06:54:00Z</cp:lastPrinted>
  <dcterms:created xsi:type="dcterms:W3CDTF">2017-11-17T20:27:00Z</dcterms:created>
  <dcterms:modified xsi:type="dcterms:W3CDTF">2017-11-17T20:27:00Z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6d24d32b-87b4-4e49-a7f5-0705d167cc11</vt:lpwstr>
  </property>
</Properties>
</file>